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598DE" w14:textId="12926B10" w:rsidR="2B3F2C65" w:rsidRDefault="2B3F2C65" w:rsidP="00C110E5">
      <w:pPr>
        <w:spacing w:after="0" w:line="257" w:lineRule="auto"/>
        <w:jc w:val="center"/>
      </w:pPr>
      <w:r w:rsidRPr="16DD08BC">
        <w:rPr>
          <w:rFonts w:ascii="Verdana" w:eastAsia="Verdana" w:hAnsi="Verdana" w:cs="Verdana"/>
          <w:b/>
          <w:bCs/>
          <w:sz w:val="20"/>
          <w:szCs w:val="20"/>
        </w:rPr>
        <w:t>PARTE 3</w:t>
      </w:r>
    </w:p>
    <w:p w14:paraId="411C6580" w14:textId="251CCED8" w:rsidR="2B3F2C65" w:rsidRDefault="2B3F2C65" w:rsidP="00C110E5">
      <w:pPr>
        <w:spacing w:after="0" w:line="257" w:lineRule="auto"/>
        <w:jc w:val="center"/>
      </w:pPr>
      <w:r w:rsidRPr="16DD08BC">
        <w:rPr>
          <w:rFonts w:ascii="Verdana" w:eastAsia="Verdana" w:hAnsi="Verdana" w:cs="Verdana"/>
          <w:b/>
          <w:bCs/>
          <w:sz w:val="20"/>
          <w:szCs w:val="20"/>
        </w:rPr>
        <w:t>INFORMACIÓN FINANCIERA Y ESQUEMAS DE REPORTE</w:t>
      </w:r>
    </w:p>
    <w:p w14:paraId="7BE1CADD" w14:textId="77777777" w:rsidR="00C110E5" w:rsidRDefault="00C110E5" w:rsidP="00C110E5">
      <w:pPr>
        <w:spacing w:after="0" w:line="257" w:lineRule="auto"/>
        <w:jc w:val="center"/>
        <w:rPr>
          <w:rFonts w:ascii="Verdana" w:eastAsia="Verdana" w:hAnsi="Verdana" w:cs="Verdana"/>
          <w:b/>
          <w:bCs/>
          <w:sz w:val="20"/>
          <w:szCs w:val="20"/>
        </w:rPr>
      </w:pPr>
    </w:p>
    <w:p w14:paraId="5914C59E" w14:textId="1698B844" w:rsidR="2B3F2C65" w:rsidRDefault="2B3F2C65" w:rsidP="00C110E5">
      <w:pPr>
        <w:spacing w:after="0" w:line="257" w:lineRule="auto"/>
        <w:jc w:val="center"/>
      </w:pPr>
      <w:r w:rsidRPr="16DD08BC">
        <w:rPr>
          <w:rFonts w:ascii="Verdana" w:eastAsia="Verdana" w:hAnsi="Verdana" w:cs="Verdana"/>
          <w:b/>
          <w:bCs/>
          <w:sz w:val="20"/>
          <w:szCs w:val="20"/>
        </w:rPr>
        <w:t>CAPÍTULO 5</w:t>
      </w:r>
    </w:p>
    <w:p w14:paraId="151D0D60" w14:textId="4C17C6A9" w:rsidR="2B3F2C65" w:rsidRDefault="2B3F2C65" w:rsidP="00C110E5">
      <w:pPr>
        <w:spacing w:after="0" w:line="257" w:lineRule="auto"/>
        <w:jc w:val="center"/>
      </w:pPr>
      <w:r w:rsidRPr="16DD08BC">
        <w:rPr>
          <w:rFonts w:ascii="Verdana" w:eastAsia="Verdana" w:hAnsi="Verdana" w:cs="Verdana"/>
          <w:b/>
          <w:bCs/>
          <w:sz w:val="20"/>
          <w:szCs w:val="20"/>
        </w:rPr>
        <w:t xml:space="preserve">INSTRUMENTOS FINANCIEROS DERIVADOS Y PRODUCTOS ESTRUCTURADOS  </w:t>
      </w:r>
    </w:p>
    <w:p w14:paraId="7C3A55B5" w14:textId="77777777" w:rsidR="00C110E5" w:rsidRDefault="00C110E5" w:rsidP="00C110E5">
      <w:pPr>
        <w:spacing w:after="0" w:line="257" w:lineRule="auto"/>
        <w:jc w:val="center"/>
        <w:rPr>
          <w:rFonts w:ascii="Verdana" w:eastAsia="Verdana" w:hAnsi="Verdana" w:cs="Verdana"/>
          <w:b/>
          <w:bCs/>
          <w:sz w:val="20"/>
          <w:szCs w:val="20"/>
        </w:rPr>
      </w:pPr>
    </w:p>
    <w:p w14:paraId="5713ED51" w14:textId="2030690A" w:rsidR="2B3F2C65" w:rsidRDefault="2B3F2C65" w:rsidP="00C110E5">
      <w:pPr>
        <w:spacing w:after="0" w:line="257" w:lineRule="auto"/>
        <w:jc w:val="center"/>
      </w:pPr>
      <w:r w:rsidRPr="16DD08BC">
        <w:rPr>
          <w:rFonts w:ascii="Verdana" w:eastAsia="Verdana" w:hAnsi="Verdana" w:cs="Verdana"/>
          <w:b/>
          <w:bCs/>
          <w:sz w:val="20"/>
          <w:szCs w:val="20"/>
        </w:rPr>
        <w:t>ANEXO 2</w:t>
      </w:r>
    </w:p>
    <w:p w14:paraId="7C4B465E" w14:textId="6EE808D7" w:rsidR="2B3F2C65" w:rsidRDefault="2B3F2C65" w:rsidP="00C110E5">
      <w:pPr>
        <w:spacing w:after="0" w:line="257" w:lineRule="auto"/>
        <w:jc w:val="center"/>
        <w:rPr>
          <w:rFonts w:ascii="Verdana" w:eastAsia="Verdana" w:hAnsi="Verdana" w:cs="Verdana"/>
          <w:b/>
          <w:bCs/>
          <w:sz w:val="20"/>
          <w:szCs w:val="20"/>
        </w:rPr>
      </w:pPr>
      <w:r w:rsidRPr="16DD08BC">
        <w:rPr>
          <w:rFonts w:ascii="Verdana" w:eastAsia="Verdana" w:hAnsi="Verdana" w:cs="Verdana"/>
          <w:b/>
          <w:bCs/>
          <w:sz w:val="20"/>
          <w:szCs w:val="20"/>
        </w:rPr>
        <w:t>ASPECTOS MÍNIMOS DE LOS CONTRATOS MARCO</w:t>
      </w:r>
      <w:r w:rsidR="00C2291A">
        <w:rPr>
          <w:rFonts w:ascii="Verdana" w:eastAsia="Verdana" w:hAnsi="Verdana" w:cs="Verdana"/>
          <w:b/>
          <w:bCs/>
          <w:sz w:val="20"/>
          <w:szCs w:val="20"/>
        </w:rPr>
        <w:t xml:space="preserve"> </w:t>
      </w:r>
      <w:r w:rsidRPr="16DD08BC">
        <w:rPr>
          <w:rFonts w:ascii="Verdana" w:eastAsia="Verdana" w:hAnsi="Verdana" w:cs="Verdana"/>
          <w:b/>
          <w:bCs/>
          <w:sz w:val="20"/>
          <w:szCs w:val="20"/>
        </w:rPr>
        <w:t xml:space="preserve">PARA LA NEGOCIACIÓN DE OPERACIONES CON INSTRUMENTOS FINANCIEROS DERIVADOS  </w:t>
      </w:r>
    </w:p>
    <w:p w14:paraId="6506C26B" w14:textId="13AF892F" w:rsidR="16DD08BC" w:rsidRDefault="16DD08BC" w:rsidP="16DD08BC">
      <w:pPr>
        <w:jc w:val="both"/>
        <w:rPr>
          <w:rFonts w:ascii="Verdana" w:hAnsi="Verdana"/>
          <w:b/>
          <w:bCs/>
          <w:sz w:val="20"/>
          <w:szCs w:val="20"/>
        </w:rPr>
      </w:pPr>
    </w:p>
    <w:p w14:paraId="50EE9ECF" w14:textId="02BD476C" w:rsidR="00BA41E3" w:rsidRPr="00734CF0" w:rsidRDefault="00D27EED" w:rsidP="00734CF0">
      <w:pPr>
        <w:jc w:val="both"/>
        <w:rPr>
          <w:rFonts w:ascii="Verdana" w:hAnsi="Verdana"/>
          <w:b/>
          <w:bCs/>
          <w:sz w:val="20"/>
          <w:szCs w:val="20"/>
        </w:rPr>
      </w:pPr>
      <w:bookmarkStart w:id="0" w:name="_Toc3399957"/>
      <w:r w:rsidRPr="00744BF2">
        <w:rPr>
          <w:rFonts w:ascii="Verdana" w:hAnsi="Verdana"/>
          <w:b/>
          <w:bCs/>
          <w:sz w:val="20"/>
          <w:szCs w:val="20"/>
        </w:rPr>
        <w:t>OBLIGACIÓN DE SUSCRIPCIÓN</w:t>
      </w:r>
      <w:bookmarkEnd w:id="0"/>
      <w:r w:rsidRPr="00744BF2">
        <w:rPr>
          <w:rFonts w:ascii="Verdana" w:hAnsi="Verdana"/>
          <w:b/>
          <w:bCs/>
          <w:sz w:val="20"/>
          <w:szCs w:val="20"/>
        </w:rPr>
        <w:t xml:space="preserve"> </w:t>
      </w:r>
    </w:p>
    <w:p w14:paraId="6D4F5E96" w14:textId="1AEDF24F" w:rsidR="00BA41E3" w:rsidRPr="00BF0C57" w:rsidRDefault="00BA41E3" w:rsidP="00BA41E3">
      <w:pPr>
        <w:spacing w:after="0"/>
        <w:rPr>
          <w:rFonts w:ascii="Verdana" w:hAnsi="Verdana"/>
          <w:sz w:val="20"/>
          <w:szCs w:val="20"/>
        </w:rPr>
      </w:pPr>
      <w:r w:rsidRPr="16DD08BC">
        <w:rPr>
          <w:rFonts w:ascii="Verdana" w:hAnsi="Verdana"/>
          <w:sz w:val="20"/>
          <w:szCs w:val="20"/>
        </w:rPr>
        <w:t>3.5.</w:t>
      </w:r>
      <w:r w:rsidR="33FAD40B" w:rsidRPr="16DD08BC">
        <w:rPr>
          <w:rFonts w:ascii="Verdana" w:hAnsi="Verdana"/>
          <w:sz w:val="20"/>
          <w:szCs w:val="20"/>
        </w:rPr>
        <w:t>A2.1</w:t>
      </w:r>
      <w:r w:rsidRPr="16DD08BC">
        <w:rPr>
          <w:rFonts w:ascii="Verdana" w:hAnsi="Verdana"/>
          <w:sz w:val="20"/>
          <w:szCs w:val="20"/>
        </w:rPr>
        <w:t>.</w:t>
      </w:r>
    </w:p>
    <w:p w14:paraId="18EC9635" w14:textId="2A9A5A5D" w:rsidR="00BA41E3" w:rsidRPr="001A39E7" w:rsidRDefault="00BA41E3" w:rsidP="00BA41E3">
      <w:pPr>
        <w:tabs>
          <w:tab w:val="left" w:pos="567"/>
          <w:tab w:val="left" w:pos="851"/>
        </w:tabs>
        <w:jc w:val="both"/>
        <w:rPr>
          <w:rFonts w:ascii="Verdana" w:hAnsi="Verdana" w:cs="Arial"/>
          <w:sz w:val="20"/>
          <w:szCs w:val="20"/>
        </w:rPr>
      </w:pPr>
      <w:r w:rsidRPr="16DD08BC">
        <w:rPr>
          <w:rFonts w:ascii="Verdana" w:hAnsi="Verdana" w:cs="Arial"/>
          <w:sz w:val="20"/>
          <w:szCs w:val="20"/>
        </w:rPr>
        <w:t xml:space="preserve">Las entidades vigiladas deben elaborar y suscribir con sus contrapartes un contrato marco o un documento estandarizado equivalente de acuerdo con lo establecido en el </w:t>
      </w:r>
      <w:r w:rsidR="004E5D6E">
        <w:rPr>
          <w:rFonts w:ascii="Verdana" w:hAnsi="Verdana" w:cs="Arial"/>
          <w:sz w:val="20"/>
          <w:szCs w:val="20"/>
        </w:rPr>
        <w:t xml:space="preserve">párrafo 3.5.35. de la </w:t>
      </w:r>
      <w:r w:rsidR="004E5D6E" w:rsidRPr="004E5D6E">
        <w:rPr>
          <w:rFonts w:ascii="Verdana" w:hAnsi="Verdana" w:cs="Arial"/>
          <w:sz w:val="20"/>
          <w:szCs w:val="20"/>
        </w:rPr>
        <w:t>CBF</w:t>
      </w:r>
      <w:r w:rsidRPr="004E5D6E">
        <w:rPr>
          <w:rFonts w:ascii="Verdana" w:hAnsi="Verdana" w:cs="Arial"/>
          <w:sz w:val="20"/>
          <w:szCs w:val="20"/>
        </w:rPr>
        <w:t xml:space="preserve"> que regule</w:t>
      </w:r>
      <w:r w:rsidRPr="16DD08BC">
        <w:rPr>
          <w:rFonts w:ascii="Verdana" w:hAnsi="Verdana" w:cs="Arial"/>
          <w:sz w:val="20"/>
          <w:szCs w:val="20"/>
        </w:rPr>
        <w:t xml:space="preserve"> de manera general la negociación de operaciones con instrumentos financieros derivados, en el evento en que las mismas se negocien en el OTC o no sean estandarizadas. </w:t>
      </w:r>
    </w:p>
    <w:p w14:paraId="11055719" w14:textId="0EF3519C" w:rsidR="338E6813" w:rsidRDefault="338E6813" w:rsidP="16DD08BC">
      <w:pPr>
        <w:spacing w:after="0"/>
        <w:rPr>
          <w:rFonts w:ascii="Verdana" w:hAnsi="Verdana"/>
          <w:sz w:val="20"/>
          <w:szCs w:val="20"/>
        </w:rPr>
      </w:pPr>
      <w:r w:rsidRPr="16DD08BC">
        <w:rPr>
          <w:rFonts w:ascii="Verdana" w:hAnsi="Verdana"/>
          <w:sz w:val="20"/>
          <w:szCs w:val="20"/>
        </w:rPr>
        <w:t>3.5.A2.2.</w:t>
      </w:r>
    </w:p>
    <w:p w14:paraId="2A9119D0" w14:textId="1A2DBF43" w:rsidR="00BA41E3" w:rsidRPr="001A39E7" w:rsidRDefault="00BA41E3" w:rsidP="00BA41E3">
      <w:pPr>
        <w:tabs>
          <w:tab w:val="left" w:pos="567"/>
          <w:tab w:val="left" w:pos="851"/>
        </w:tabs>
        <w:jc w:val="both"/>
        <w:rPr>
          <w:rFonts w:ascii="Verdana" w:hAnsi="Verdana" w:cs="Arial"/>
          <w:sz w:val="20"/>
          <w:szCs w:val="20"/>
        </w:rPr>
      </w:pPr>
      <w:r w:rsidRPr="16DD08BC">
        <w:rPr>
          <w:rFonts w:ascii="Verdana" w:hAnsi="Verdana" w:cs="Arial"/>
          <w:sz w:val="20"/>
          <w:szCs w:val="20"/>
        </w:rPr>
        <w:t xml:space="preserve">Sin perjuicio de lo anterior, cuando se trate de contrapartes con las cuales se vaya a realizar máximo 2 operaciones con instrumentos financieros derivados en un periodo de 6 meses, y siempre que así lo acuerden las partes, es posible </w:t>
      </w:r>
      <w:r w:rsidR="007D201C">
        <w:rPr>
          <w:rFonts w:ascii="Verdana" w:hAnsi="Verdana" w:cs="Arial"/>
          <w:sz w:val="20"/>
          <w:szCs w:val="20"/>
        </w:rPr>
        <w:t>suscribir un</w:t>
      </w:r>
      <w:r w:rsidRPr="16DD08BC">
        <w:rPr>
          <w:rFonts w:ascii="Verdana" w:hAnsi="Verdana" w:cs="Arial"/>
          <w:sz w:val="20"/>
          <w:szCs w:val="20"/>
        </w:rPr>
        <w:t xml:space="preserve"> </w:t>
      </w:r>
      <w:r w:rsidRPr="16DD08BC">
        <w:rPr>
          <w:rFonts w:ascii="Verdana" w:hAnsi="Verdana" w:cs="Arial"/>
          <w:i/>
          <w:iCs/>
          <w:sz w:val="20"/>
          <w:szCs w:val="20"/>
        </w:rPr>
        <w:t xml:space="preserve">Long </w:t>
      </w:r>
      <w:proofErr w:type="spellStart"/>
      <w:r w:rsidRPr="16DD08BC">
        <w:rPr>
          <w:rFonts w:ascii="Verdana" w:hAnsi="Verdana" w:cs="Arial"/>
          <w:i/>
          <w:iCs/>
          <w:sz w:val="20"/>
          <w:szCs w:val="20"/>
        </w:rPr>
        <w:t>Form</w:t>
      </w:r>
      <w:proofErr w:type="spellEnd"/>
      <w:r w:rsidRPr="16DD08BC">
        <w:rPr>
          <w:rFonts w:ascii="Verdana" w:hAnsi="Verdana" w:cs="Arial"/>
          <w:i/>
          <w:iCs/>
          <w:sz w:val="20"/>
          <w:szCs w:val="20"/>
        </w:rPr>
        <w:t xml:space="preserve"> </w:t>
      </w:r>
      <w:proofErr w:type="spellStart"/>
      <w:r w:rsidRPr="16DD08BC">
        <w:rPr>
          <w:rFonts w:ascii="Verdana" w:hAnsi="Verdana" w:cs="Arial"/>
          <w:i/>
          <w:iCs/>
          <w:sz w:val="20"/>
          <w:szCs w:val="20"/>
        </w:rPr>
        <w:t>Confirmation</w:t>
      </w:r>
      <w:proofErr w:type="spellEnd"/>
      <w:r w:rsidRPr="16DD08BC">
        <w:rPr>
          <w:rFonts w:ascii="Verdana" w:hAnsi="Verdana" w:cs="Arial"/>
          <w:i/>
          <w:iCs/>
          <w:sz w:val="20"/>
          <w:szCs w:val="20"/>
        </w:rPr>
        <w:t xml:space="preserve"> (LFC)</w:t>
      </w:r>
      <w:r w:rsidR="007D201C" w:rsidRPr="00376B82">
        <w:rPr>
          <w:rFonts w:ascii="Verdana" w:hAnsi="Verdana" w:cs="Arial"/>
          <w:sz w:val="20"/>
          <w:szCs w:val="20"/>
        </w:rPr>
        <w:t xml:space="preserve"> o cua</w:t>
      </w:r>
      <w:r w:rsidR="007D201C">
        <w:rPr>
          <w:rFonts w:ascii="Verdana" w:hAnsi="Verdana" w:cs="Arial"/>
          <w:sz w:val="20"/>
          <w:szCs w:val="20"/>
        </w:rPr>
        <w:t xml:space="preserve">lquier </w:t>
      </w:r>
      <w:r w:rsidR="00CA77B2">
        <w:rPr>
          <w:rFonts w:ascii="Verdana" w:hAnsi="Verdana" w:cs="Arial"/>
          <w:sz w:val="20"/>
          <w:szCs w:val="20"/>
        </w:rPr>
        <w:t xml:space="preserve">documento </w:t>
      </w:r>
      <w:r w:rsidR="000E0C2D">
        <w:rPr>
          <w:rFonts w:ascii="Verdana" w:hAnsi="Verdana" w:cs="Arial"/>
          <w:sz w:val="20"/>
          <w:szCs w:val="20"/>
        </w:rPr>
        <w:t>o</w:t>
      </w:r>
      <w:r w:rsidR="00CA77B2">
        <w:rPr>
          <w:rFonts w:ascii="Verdana" w:hAnsi="Verdana" w:cs="Arial"/>
          <w:sz w:val="20"/>
          <w:szCs w:val="20"/>
        </w:rPr>
        <w:t xml:space="preserve"> contrato similar</w:t>
      </w:r>
      <w:r w:rsidRPr="16DD08BC">
        <w:rPr>
          <w:rFonts w:ascii="Verdana" w:hAnsi="Verdana" w:cs="Arial"/>
          <w:sz w:val="20"/>
          <w:szCs w:val="20"/>
        </w:rPr>
        <w:t>.</w:t>
      </w:r>
    </w:p>
    <w:p w14:paraId="1B97FC95" w14:textId="3AC72B79" w:rsidR="00BA41E3" w:rsidRPr="00BF0C57" w:rsidRDefault="698A97A7" w:rsidP="00BA41E3">
      <w:pPr>
        <w:spacing w:after="0"/>
        <w:rPr>
          <w:rFonts w:ascii="Verdana" w:hAnsi="Verdana"/>
          <w:sz w:val="20"/>
          <w:szCs w:val="20"/>
        </w:rPr>
      </w:pPr>
      <w:r w:rsidRPr="16DD08BC">
        <w:rPr>
          <w:rFonts w:ascii="Verdana" w:hAnsi="Verdana"/>
          <w:sz w:val="20"/>
          <w:szCs w:val="20"/>
        </w:rPr>
        <w:t>3.5.A2.3.</w:t>
      </w:r>
    </w:p>
    <w:p w14:paraId="30C1A690" w14:textId="77777777" w:rsidR="00BA41E3" w:rsidRPr="001A39E7" w:rsidRDefault="00BA41E3" w:rsidP="00BA41E3">
      <w:pPr>
        <w:tabs>
          <w:tab w:val="left" w:pos="567"/>
          <w:tab w:val="left" w:pos="851"/>
        </w:tabs>
        <w:jc w:val="both"/>
        <w:rPr>
          <w:rFonts w:ascii="Verdana" w:hAnsi="Verdana" w:cs="Arial"/>
          <w:sz w:val="20"/>
          <w:szCs w:val="20"/>
        </w:rPr>
      </w:pPr>
      <w:r w:rsidRPr="001A39E7">
        <w:rPr>
          <w:rFonts w:ascii="Verdana" w:hAnsi="Verdana" w:cs="Arial"/>
          <w:sz w:val="20"/>
          <w:szCs w:val="20"/>
        </w:rPr>
        <w:t>La elaboración y suscripción del contrato marco o el documento estandarizado equivalente no es necesaria</w:t>
      </w:r>
      <w:r w:rsidRPr="001A39E7">
        <w:rPr>
          <w:rFonts w:ascii="Verdana" w:hAnsi="Verdana" w:cs="Arial"/>
          <w:color w:val="FF0000"/>
          <w:sz w:val="20"/>
          <w:szCs w:val="20"/>
        </w:rPr>
        <w:t xml:space="preserve"> </w:t>
      </w:r>
      <w:r w:rsidRPr="001A39E7">
        <w:rPr>
          <w:rFonts w:ascii="Verdana" w:hAnsi="Verdana" w:cs="Arial"/>
          <w:sz w:val="20"/>
          <w:szCs w:val="20"/>
        </w:rPr>
        <w:t>cuando la contraparte sea el Banco de la República o una Cámara de Riesgo Central de Contraparte, en cuyo caso y para efectos del presente Anexo rigen las disposiciones que estos dispongan según su normatividad y reglamentos. En todos los casos, el acuerdo suscrito al que haya lugar debe estar a disposición de la SFC.</w:t>
      </w:r>
    </w:p>
    <w:p w14:paraId="2B0686EA" w14:textId="4B0622BB" w:rsidR="00BA41E3" w:rsidRDefault="00573EFD" w:rsidP="00734CF0">
      <w:pPr>
        <w:rPr>
          <w:rFonts w:ascii="Verdana" w:hAnsi="Verdana" w:cs="Arial"/>
          <w:sz w:val="20"/>
          <w:szCs w:val="20"/>
        </w:rPr>
      </w:pPr>
      <w:bookmarkStart w:id="1" w:name="_Toc3399958"/>
      <w:r w:rsidRPr="16DD08BC">
        <w:rPr>
          <w:rFonts w:ascii="Verdana" w:hAnsi="Verdana"/>
          <w:b/>
          <w:bCs/>
          <w:sz w:val="20"/>
          <w:szCs w:val="20"/>
        </w:rPr>
        <w:t>CONTENIDO Y COMPONENTES</w:t>
      </w:r>
      <w:bookmarkEnd w:id="1"/>
    </w:p>
    <w:p w14:paraId="347278EE" w14:textId="3437A6E5" w:rsidR="00BA41E3" w:rsidRPr="00BF0C57" w:rsidRDefault="47DF10D9" w:rsidP="00BA41E3">
      <w:pPr>
        <w:spacing w:after="0"/>
        <w:rPr>
          <w:rFonts w:ascii="Verdana" w:hAnsi="Verdana"/>
          <w:sz w:val="20"/>
          <w:szCs w:val="20"/>
        </w:rPr>
      </w:pPr>
      <w:r w:rsidRPr="16DD08BC">
        <w:rPr>
          <w:rFonts w:ascii="Verdana" w:hAnsi="Verdana"/>
          <w:sz w:val="20"/>
          <w:szCs w:val="20"/>
        </w:rPr>
        <w:t>3.5.A2.4.</w:t>
      </w:r>
    </w:p>
    <w:p w14:paraId="26960599" w14:textId="77777777" w:rsidR="00BA41E3" w:rsidRPr="00FE5C1C" w:rsidRDefault="00BA41E3" w:rsidP="00BA41E3">
      <w:pPr>
        <w:tabs>
          <w:tab w:val="left" w:pos="567"/>
          <w:tab w:val="left" w:pos="851"/>
        </w:tabs>
        <w:jc w:val="both"/>
        <w:rPr>
          <w:rFonts w:ascii="Verdana" w:hAnsi="Verdana" w:cs="Arial"/>
          <w:sz w:val="20"/>
          <w:szCs w:val="20"/>
        </w:rPr>
      </w:pPr>
      <w:r w:rsidRPr="16DD08BC">
        <w:rPr>
          <w:rFonts w:ascii="Verdana" w:hAnsi="Verdana" w:cs="Arial"/>
          <w:sz w:val="20"/>
          <w:szCs w:val="20"/>
        </w:rPr>
        <w:t xml:space="preserve">El contrato marco contendrá los principales términos y condiciones para la negociación de operaciones con instrumentos financieros derivados, de conformidad con lo previsto en el presente anexo. </w:t>
      </w:r>
    </w:p>
    <w:p w14:paraId="6FB7E3FD" w14:textId="4D2E9341" w:rsidR="7BB9E455" w:rsidRDefault="7BB9E455" w:rsidP="16DD08BC">
      <w:pPr>
        <w:spacing w:after="0"/>
        <w:rPr>
          <w:rFonts w:ascii="Verdana" w:hAnsi="Verdana"/>
          <w:sz w:val="20"/>
          <w:szCs w:val="20"/>
        </w:rPr>
      </w:pPr>
      <w:r w:rsidRPr="16DD08BC">
        <w:rPr>
          <w:rFonts w:ascii="Verdana" w:hAnsi="Verdana"/>
          <w:sz w:val="20"/>
          <w:szCs w:val="20"/>
        </w:rPr>
        <w:t>3.5.A2.5.</w:t>
      </w:r>
    </w:p>
    <w:p w14:paraId="0DB14977" w14:textId="77777777" w:rsidR="00BA41E3" w:rsidRPr="00FE5C1C" w:rsidRDefault="00BA41E3" w:rsidP="00BA41E3">
      <w:pPr>
        <w:tabs>
          <w:tab w:val="left" w:pos="567"/>
          <w:tab w:val="left" w:pos="851"/>
        </w:tabs>
        <w:jc w:val="both"/>
        <w:rPr>
          <w:rFonts w:ascii="Verdana" w:hAnsi="Verdana" w:cs="Arial"/>
          <w:sz w:val="20"/>
          <w:szCs w:val="20"/>
        </w:rPr>
      </w:pPr>
      <w:r w:rsidRPr="00FE5C1C">
        <w:rPr>
          <w:rFonts w:ascii="Verdana" w:hAnsi="Verdana" w:cs="Arial"/>
          <w:sz w:val="20"/>
          <w:szCs w:val="20"/>
        </w:rPr>
        <w:t xml:space="preserve">El contrato marco está conformado por las siguientes 3 partes: </w:t>
      </w:r>
    </w:p>
    <w:p w14:paraId="655C03AA" w14:textId="5E2C06E9" w:rsidR="00BA41E3" w:rsidRPr="00CC3F04" w:rsidRDefault="00BA41E3" w:rsidP="00BA41E3">
      <w:pPr>
        <w:pStyle w:val="Prrafodelista"/>
        <w:numPr>
          <w:ilvl w:val="0"/>
          <w:numId w:val="13"/>
        </w:numPr>
        <w:tabs>
          <w:tab w:val="left" w:pos="567"/>
          <w:tab w:val="left" w:pos="851"/>
        </w:tabs>
        <w:ind w:left="567" w:hanging="567"/>
        <w:jc w:val="both"/>
        <w:rPr>
          <w:rFonts w:ascii="Verdana" w:hAnsi="Verdana" w:cs="Arial"/>
          <w:sz w:val="20"/>
          <w:szCs w:val="20"/>
        </w:rPr>
      </w:pPr>
      <w:r w:rsidRPr="00CC3F04">
        <w:rPr>
          <w:rFonts w:ascii="Verdana" w:hAnsi="Verdana" w:cs="Arial"/>
          <w:sz w:val="20"/>
          <w:szCs w:val="20"/>
        </w:rPr>
        <w:t>El texto mismo del contrato marco</w:t>
      </w:r>
      <w:r w:rsidR="00E565FE">
        <w:rPr>
          <w:rFonts w:ascii="Verdana" w:hAnsi="Verdana" w:cs="Arial"/>
          <w:sz w:val="20"/>
          <w:szCs w:val="20"/>
        </w:rPr>
        <w:t>.</w:t>
      </w:r>
    </w:p>
    <w:p w14:paraId="1958D38A" w14:textId="77777777" w:rsidR="005111DF" w:rsidRDefault="005111DF" w:rsidP="005111DF">
      <w:pPr>
        <w:pStyle w:val="Prrafodelista"/>
        <w:tabs>
          <w:tab w:val="left" w:pos="567"/>
          <w:tab w:val="left" w:pos="851"/>
        </w:tabs>
        <w:ind w:left="567"/>
        <w:jc w:val="both"/>
        <w:rPr>
          <w:rFonts w:ascii="Verdana" w:hAnsi="Verdana" w:cs="Arial"/>
          <w:sz w:val="20"/>
          <w:szCs w:val="20"/>
        </w:rPr>
      </w:pPr>
    </w:p>
    <w:p w14:paraId="16057BC2" w14:textId="76399011" w:rsidR="00BA41E3" w:rsidRPr="00CC3F04" w:rsidRDefault="00BA41E3" w:rsidP="00BA41E3">
      <w:pPr>
        <w:pStyle w:val="Prrafodelista"/>
        <w:numPr>
          <w:ilvl w:val="0"/>
          <w:numId w:val="13"/>
        </w:numPr>
        <w:tabs>
          <w:tab w:val="left" w:pos="567"/>
          <w:tab w:val="left" w:pos="851"/>
        </w:tabs>
        <w:ind w:left="567" w:hanging="567"/>
        <w:jc w:val="both"/>
        <w:rPr>
          <w:rFonts w:ascii="Verdana" w:hAnsi="Verdana" w:cs="Arial"/>
          <w:sz w:val="20"/>
          <w:szCs w:val="20"/>
        </w:rPr>
      </w:pPr>
      <w:r w:rsidRPr="00CC3F04">
        <w:rPr>
          <w:rFonts w:ascii="Verdana" w:hAnsi="Verdana" w:cs="Arial"/>
          <w:sz w:val="20"/>
          <w:szCs w:val="20"/>
        </w:rPr>
        <w:t>El suplemento</w:t>
      </w:r>
      <w:r w:rsidR="00E565FE">
        <w:rPr>
          <w:rFonts w:ascii="Verdana" w:hAnsi="Verdana" w:cs="Arial"/>
          <w:sz w:val="20"/>
          <w:szCs w:val="20"/>
        </w:rPr>
        <w:t>.</w:t>
      </w:r>
    </w:p>
    <w:p w14:paraId="543A42CE" w14:textId="77777777" w:rsidR="005111DF" w:rsidRDefault="005111DF" w:rsidP="005111DF">
      <w:pPr>
        <w:pStyle w:val="Prrafodelista"/>
        <w:tabs>
          <w:tab w:val="left" w:pos="567"/>
          <w:tab w:val="left" w:pos="851"/>
        </w:tabs>
        <w:ind w:left="567"/>
        <w:jc w:val="both"/>
        <w:rPr>
          <w:rFonts w:ascii="Verdana" w:hAnsi="Verdana" w:cs="Arial"/>
          <w:sz w:val="20"/>
          <w:szCs w:val="20"/>
        </w:rPr>
      </w:pPr>
    </w:p>
    <w:p w14:paraId="6B6983A3" w14:textId="7FB8163E" w:rsidR="00BA41E3" w:rsidRPr="00CC3F04" w:rsidRDefault="00BA41E3" w:rsidP="00BA41E3">
      <w:pPr>
        <w:pStyle w:val="Prrafodelista"/>
        <w:numPr>
          <w:ilvl w:val="0"/>
          <w:numId w:val="13"/>
        </w:numPr>
        <w:tabs>
          <w:tab w:val="left" w:pos="567"/>
          <w:tab w:val="left" w:pos="851"/>
        </w:tabs>
        <w:ind w:left="567" w:hanging="567"/>
        <w:jc w:val="both"/>
        <w:rPr>
          <w:rFonts w:ascii="Verdana" w:hAnsi="Verdana" w:cs="Arial"/>
          <w:sz w:val="20"/>
          <w:szCs w:val="20"/>
        </w:rPr>
      </w:pPr>
      <w:r w:rsidRPr="16DD08BC">
        <w:rPr>
          <w:rFonts w:ascii="Verdana" w:hAnsi="Verdana" w:cs="Arial"/>
          <w:sz w:val="20"/>
          <w:szCs w:val="20"/>
        </w:rPr>
        <w:t>Cada una de las cartas de confirmación que se realicen por instrumento financiero derivado que se negocie.</w:t>
      </w:r>
    </w:p>
    <w:p w14:paraId="62835CFC" w14:textId="702D54A5" w:rsidR="2D092D33" w:rsidRDefault="2D092D33" w:rsidP="16DD08BC">
      <w:pPr>
        <w:spacing w:after="0"/>
        <w:rPr>
          <w:rFonts w:ascii="Verdana" w:hAnsi="Verdana"/>
          <w:sz w:val="20"/>
          <w:szCs w:val="20"/>
        </w:rPr>
      </w:pPr>
      <w:r w:rsidRPr="16DD08BC">
        <w:rPr>
          <w:rFonts w:ascii="Verdana" w:hAnsi="Verdana"/>
          <w:sz w:val="20"/>
          <w:szCs w:val="20"/>
        </w:rPr>
        <w:t>3.5.A2.6.</w:t>
      </w:r>
    </w:p>
    <w:p w14:paraId="7AEE972B" w14:textId="06B23A2D" w:rsidR="00BA41E3" w:rsidRPr="00FE5C1C" w:rsidRDefault="00BA41E3" w:rsidP="00BA41E3">
      <w:pPr>
        <w:tabs>
          <w:tab w:val="left" w:pos="567"/>
          <w:tab w:val="left" w:pos="851"/>
        </w:tabs>
        <w:jc w:val="both"/>
        <w:rPr>
          <w:rFonts w:ascii="Verdana" w:hAnsi="Verdana" w:cs="Arial"/>
          <w:sz w:val="20"/>
          <w:szCs w:val="20"/>
        </w:rPr>
      </w:pPr>
      <w:r w:rsidRPr="16DD08BC">
        <w:rPr>
          <w:rFonts w:ascii="Verdana" w:hAnsi="Verdana" w:cs="Arial"/>
          <w:sz w:val="20"/>
          <w:szCs w:val="20"/>
        </w:rPr>
        <w:t xml:space="preserve">El suplemento no puede modificar ni derogar las condiciones mínimas previstas en este </w:t>
      </w:r>
      <w:r w:rsidR="00AE7F6B">
        <w:rPr>
          <w:rFonts w:ascii="Verdana" w:hAnsi="Verdana" w:cs="Arial"/>
          <w:sz w:val="20"/>
          <w:szCs w:val="20"/>
        </w:rPr>
        <w:t>a</w:t>
      </w:r>
      <w:r w:rsidRPr="16DD08BC">
        <w:rPr>
          <w:rFonts w:ascii="Verdana" w:hAnsi="Verdana" w:cs="Arial"/>
          <w:sz w:val="20"/>
          <w:szCs w:val="20"/>
        </w:rPr>
        <w:t>nexo y demás instrucciones de la SFC aplicables al contrato marco.</w:t>
      </w:r>
    </w:p>
    <w:p w14:paraId="184E344D" w14:textId="68508E18" w:rsidR="7D6C6D81" w:rsidRDefault="7D6C6D81" w:rsidP="16DD08BC">
      <w:pPr>
        <w:spacing w:after="0"/>
        <w:rPr>
          <w:rFonts w:ascii="Verdana" w:hAnsi="Verdana"/>
          <w:sz w:val="20"/>
          <w:szCs w:val="20"/>
        </w:rPr>
      </w:pPr>
      <w:r w:rsidRPr="16DD08BC">
        <w:rPr>
          <w:rFonts w:ascii="Verdana" w:hAnsi="Verdana"/>
          <w:sz w:val="20"/>
          <w:szCs w:val="20"/>
        </w:rPr>
        <w:t>3.5.A2.7.</w:t>
      </w:r>
    </w:p>
    <w:p w14:paraId="27ACAE28" w14:textId="3D7C3A73" w:rsidR="00BA41E3" w:rsidRPr="00FE5C1C" w:rsidRDefault="00BA41E3" w:rsidP="00BA41E3">
      <w:pPr>
        <w:tabs>
          <w:tab w:val="left" w:pos="567"/>
          <w:tab w:val="left" w:pos="851"/>
        </w:tabs>
        <w:jc w:val="both"/>
        <w:rPr>
          <w:rFonts w:ascii="Verdana" w:hAnsi="Verdana" w:cs="Arial"/>
          <w:sz w:val="20"/>
          <w:szCs w:val="20"/>
        </w:rPr>
      </w:pPr>
      <w:r w:rsidRPr="16DD08BC">
        <w:rPr>
          <w:rFonts w:ascii="Verdana" w:hAnsi="Verdana" w:cs="Arial"/>
          <w:sz w:val="20"/>
          <w:szCs w:val="20"/>
        </w:rPr>
        <w:t>Cada carta de confirmación debe establecer las características para la liquidación y el cumplimiento del instrumento financiero derivado</w:t>
      </w:r>
      <w:r w:rsidR="00AE7F6B">
        <w:rPr>
          <w:rFonts w:ascii="Verdana" w:hAnsi="Verdana" w:cs="Arial"/>
          <w:sz w:val="20"/>
          <w:szCs w:val="20"/>
        </w:rPr>
        <w:t xml:space="preserve"> correspondiente</w:t>
      </w:r>
      <w:r w:rsidRPr="16DD08BC">
        <w:rPr>
          <w:rFonts w:ascii="Verdana" w:hAnsi="Verdana" w:cs="Arial"/>
          <w:sz w:val="20"/>
          <w:szCs w:val="20"/>
        </w:rPr>
        <w:t>.</w:t>
      </w:r>
    </w:p>
    <w:p w14:paraId="309B54DE" w14:textId="755667C2" w:rsidR="00BA41E3" w:rsidRPr="0058017A" w:rsidRDefault="0058017A" w:rsidP="00744BF2">
      <w:pPr>
        <w:rPr>
          <w:rFonts w:ascii="Verdana" w:hAnsi="Verdana"/>
          <w:b/>
          <w:bCs/>
          <w:sz w:val="20"/>
          <w:szCs w:val="20"/>
        </w:rPr>
      </w:pPr>
      <w:bookmarkStart w:id="2" w:name="_Toc3399959"/>
      <w:r w:rsidRPr="0058017A">
        <w:rPr>
          <w:rFonts w:ascii="Verdana" w:hAnsi="Verdana"/>
          <w:b/>
          <w:bCs/>
          <w:sz w:val="20"/>
          <w:szCs w:val="20"/>
        </w:rPr>
        <w:t>CRITERIOS MÍNIMOS</w:t>
      </w:r>
      <w:bookmarkEnd w:id="2"/>
    </w:p>
    <w:p w14:paraId="3B4F41F0" w14:textId="73E4E5B8" w:rsidR="067079BB" w:rsidRDefault="067079BB" w:rsidP="16DD08BC">
      <w:pPr>
        <w:spacing w:after="0"/>
        <w:rPr>
          <w:rFonts w:ascii="Verdana" w:hAnsi="Verdana"/>
          <w:sz w:val="20"/>
          <w:szCs w:val="20"/>
        </w:rPr>
      </w:pPr>
      <w:r w:rsidRPr="16DD08BC">
        <w:rPr>
          <w:rFonts w:ascii="Verdana" w:hAnsi="Verdana"/>
          <w:sz w:val="20"/>
          <w:szCs w:val="20"/>
        </w:rPr>
        <w:t>3.5.A2.8.</w:t>
      </w:r>
    </w:p>
    <w:p w14:paraId="6ABDBCA7" w14:textId="77777777" w:rsidR="00BA41E3" w:rsidRDefault="00BA41E3" w:rsidP="00BA41E3">
      <w:pPr>
        <w:tabs>
          <w:tab w:val="left" w:pos="567"/>
          <w:tab w:val="left" w:pos="851"/>
        </w:tabs>
        <w:jc w:val="both"/>
        <w:rPr>
          <w:rFonts w:ascii="Verdana" w:hAnsi="Verdana" w:cs="Arial"/>
          <w:sz w:val="20"/>
          <w:szCs w:val="20"/>
        </w:rPr>
      </w:pPr>
      <w:r w:rsidRPr="00FE5C1C">
        <w:rPr>
          <w:rFonts w:ascii="Verdana" w:hAnsi="Verdana" w:cs="Arial"/>
          <w:sz w:val="20"/>
          <w:szCs w:val="20"/>
        </w:rPr>
        <w:t>El contrato marco debe contener como mínimo los siguientes aspectos, sin perjuicio de que las entidades vigiladas fijen criterios más exigentes para efectos de control de riesgos:</w:t>
      </w:r>
    </w:p>
    <w:p w14:paraId="5C544B8D" w14:textId="77777777" w:rsidR="005111DF" w:rsidRDefault="005111DF" w:rsidP="00BA41E3">
      <w:pPr>
        <w:tabs>
          <w:tab w:val="left" w:pos="567"/>
          <w:tab w:val="left" w:pos="851"/>
        </w:tabs>
        <w:jc w:val="both"/>
        <w:rPr>
          <w:rFonts w:ascii="Verdana" w:hAnsi="Verdana" w:cs="Arial"/>
          <w:sz w:val="20"/>
          <w:szCs w:val="20"/>
        </w:rPr>
      </w:pPr>
    </w:p>
    <w:p w14:paraId="2FCA0E66" w14:textId="77777777" w:rsidR="005111DF" w:rsidRPr="00FE5C1C" w:rsidRDefault="005111DF" w:rsidP="00BA41E3">
      <w:pPr>
        <w:tabs>
          <w:tab w:val="left" w:pos="567"/>
          <w:tab w:val="left" w:pos="851"/>
        </w:tabs>
        <w:jc w:val="both"/>
        <w:rPr>
          <w:rFonts w:ascii="Verdana" w:hAnsi="Verdana" w:cs="Arial"/>
          <w:sz w:val="20"/>
          <w:szCs w:val="20"/>
        </w:rPr>
      </w:pPr>
    </w:p>
    <w:p w14:paraId="0BFB5007" w14:textId="77777777" w:rsidR="00BA41E3" w:rsidRPr="00744BF2" w:rsidRDefault="00BA41E3" w:rsidP="00744BF2">
      <w:pPr>
        <w:rPr>
          <w:rFonts w:ascii="Verdana" w:hAnsi="Verdana"/>
          <w:b/>
          <w:bCs/>
          <w:sz w:val="20"/>
          <w:szCs w:val="20"/>
        </w:rPr>
      </w:pPr>
      <w:bookmarkStart w:id="3" w:name="_Toc3399960"/>
      <w:r w:rsidRPr="16DD08BC">
        <w:rPr>
          <w:rFonts w:ascii="Verdana" w:hAnsi="Verdana"/>
          <w:b/>
          <w:bCs/>
          <w:sz w:val="20"/>
          <w:szCs w:val="20"/>
        </w:rPr>
        <w:lastRenderedPageBreak/>
        <w:t>Definiciones</w:t>
      </w:r>
      <w:bookmarkEnd w:id="3"/>
      <w:r w:rsidRPr="16DD08BC">
        <w:rPr>
          <w:rFonts w:ascii="Verdana" w:hAnsi="Verdana"/>
          <w:b/>
          <w:bCs/>
          <w:sz w:val="20"/>
          <w:szCs w:val="20"/>
        </w:rPr>
        <w:t xml:space="preserve"> </w:t>
      </w:r>
    </w:p>
    <w:p w14:paraId="5D2C11A1" w14:textId="1823948B" w:rsidR="66F42B44" w:rsidRDefault="66F42B44" w:rsidP="16DD08BC">
      <w:pPr>
        <w:spacing w:after="0"/>
        <w:rPr>
          <w:rFonts w:ascii="Verdana" w:hAnsi="Verdana"/>
          <w:sz w:val="20"/>
          <w:szCs w:val="20"/>
        </w:rPr>
      </w:pPr>
      <w:r w:rsidRPr="16DD08BC">
        <w:rPr>
          <w:rFonts w:ascii="Verdana" w:hAnsi="Verdana"/>
          <w:sz w:val="20"/>
          <w:szCs w:val="20"/>
        </w:rPr>
        <w:t>3.5.A2.9.</w:t>
      </w:r>
    </w:p>
    <w:p w14:paraId="2F4D2A40" w14:textId="6A8F42A4" w:rsidR="00BA41E3" w:rsidRPr="00FE5C1C" w:rsidRDefault="00BA41E3" w:rsidP="00BA41E3">
      <w:pPr>
        <w:tabs>
          <w:tab w:val="left" w:pos="851"/>
          <w:tab w:val="num" w:pos="926"/>
        </w:tabs>
        <w:jc w:val="both"/>
        <w:rPr>
          <w:rFonts w:ascii="Verdana" w:hAnsi="Verdana" w:cs="Arial"/>
          <w:sz w:val="20"/>
          <w:szCs w:val="20"/>
        </w:rPr>
      </w:pPr>
      <w:r w:rsidRPr="00FE5C1C">
        <w:rPr>
          <w:rFonts w:ascii="Verdana" w:hAnsi="Verdana" w:cs="Arial"/>
          <w:sz w:val="20"/>
          <w:szCs w:val="20"/>
        </w:rPr>
        <w:t xml:space="preserve">Son aplicables las definiciones contenidas en el Decreto 2555 de 2010 y en los marcos técnicos normativos de información financiera y de aseguramiento, así como las previstas en el presente </w:t>
      </w:r>
      <w:r w:rsidR="000D6D46">
        <w:rPr>
          <w:rFonts w:ascii="Verdana" w:hAnsi="Verdana" w:cs="Arial"/>
          <w:sz w:val="20"/>
          <w:szCs w:val="20"/>
        </w:rPr>
        <w:t>c</w:t>
      </w:r>
      <w:r w:rsidRPr="00FE5C1C">
        <w:rPr>
          <w:rFonts w:ascii="Verdana" w:hAnsi="Verdana" w:cs="Arial"/>
          <w:sz w:val="20"/>
          <w:szCs w:val="20"/>
        </w:rPr>
        <w:t>apítulo.</w:t>
      </w:r>
    </w:p>
    <w:p w14:paraId="3E5AB7BC" w14:textId="77777777" w:rsidR="00BA41E3" w:rsidRPr="00744BF2" w:rsidRDefault="00BA41E3" w:rsidP="00744BF2">
      <w:pPr>
        <w:rPr>
          <w:rFonts w:ascii="Verdana" w:hAnsi="Verdana"/>
          <w:b/>
          <w:bCs/>
          <w:sz w:val="20"/>
          <w:szCs w:val="20"/>
        </w:rPr>
      </w:pPr>
      <w:bookmarkStart w:id="4" w:name="_Toc3399961"/>
      <w:r w:rsidRPr="16DD08BC">
        <w:rPr>
          <w:rFonts w:ascii="Verdana" w:hAnsi="Verdana"/>
          <w:b/>
          <w:bCs/>
          <w:sz w:val="20"/>
          <w:szCs w:val="20"/>
        </w:rPr>
        <w:t>Criterios de interpretación</w:t>
      </w:r>
      <w:bookmarkEnd w:id="4"/>
      <w:r w:rsidRPr="16DD08BC">
        <w:rPr>
          <w:rFonts w:ascii="Verdana" w:hAnsi="Verdana"/>
          <w:b/>
          <w:bCs/>
          <w:sz w:val="20"/>
          <w:szCs w:val="20"/>
        </w:rPr>
        <w:t xml:space="preserve"> </w:t>
      </w:r>
    </w:p>
    <w:p w14:paraId="0901613F" w14:textId="16560233" w:rsidR="74848DA0" w:rsidRDefault="74848DA0" w:rsidP="16DD08BC">
      <w:pPr>
        <w:spacing w:after="0"/>
        <w:rPr>
          <w:rFonts w:ascii="Verdana" w:hAnsi="Verdana"/>
          <w:sz w:val="20"/>
          <w:szCs w:val="20"/>
        </w:rPr>
      </w:pPr>
      <w:r w:rsidRPr="16DD08BC">
        <w:rPr>
          <w:rFonts w:ascii="Verdana" w:hAnsi="Verdana"/>
          <w:sz w:val="20"/>
          <w:szCs w:val="20"/>
        </w:rPr>
        <w:t>3.5.A2.10.</w:t>
      </w:r>
    </w:p>
    <w:p w14:paraId="37C2EE5B" w14:textId="550482BB" w:rsidR="00BA41E3" w:rsidRPr="001A39E7" w:rsidRDefault="00BA41E3" w:rsidP="00BA41E3">
      <w:pPr>
        <w:tabs>
          <w:tab w:val="left" w:pos="851"/>
          <w:tab w:val="num" w:pos="926"/>
        </w:tabs>
        <w:jc w:val="both"/>
        <w:rPr>
          <w:rFonts w:ascii="Verdana" w:hAnsi="Verdana" w:cs="Arial"/>
          <w:sz w:val="20"/>
          <w:szCs w:val="20"/>
        </w:rPr>
      </w:pPr>
      <w:r w:rsidRPr="001A39E7">
        <w:rPr>
          <w:rFonts w:ascii="Verdana" w:hAnsi="Verdana" w:cs="Arial"/>
          <w:sz w:val="20"/>
          <w:szCs w:val="20"/>
        </w:rPr>
        <w:t>Son aplicables las reglas de interpretación vigentes en Colombia, de conformidad con lo previsto en el Código Civil, la Ley 153 de 1887 y demás normas concordantes. Sin embargo, se debe tener en cuenta que los pactos específicos prevalecen sobre las condiciones generales, de manera que en caso de discrepancia entre la carta de confirmación y el contrato marco, prevalece el texto de la carta de confirmación; entre la carta de confirmación y el suplemento, prevalece el texto de la carta de confirmación; y entre el suplemento y el contrato marco, prevalece el texto del suplemento.</w:t>
      </w:r>
    </w:p>
    <w:p w14:paraId="4C3ED97F" w14:textId="77777777" w:rsidR="00BA41E3" w:rsidRPr="00744BF2" w:rsidRDefault="00BA41E3" w:rsidP="00744BF2">
      <w:pPr>
        <w:rPr>
          <w:rFonts w:ascii="Verdana" w:hAnsi="Verdana"/>
          <w:b/>
          <w:bCs/>
          <w:sz w:val="20"/>
          <w:szCs w:val="20"/>
        </w:rPr>
      </w:pPr>
      <w:bookmarkStart w:id="5" w:name="_Toc3399962"/>
      <w:r w:rsidRPr="16DD08BC">
        <w:rPr>
          <w:rFonts w:ascii="Verdana" w:hAnsi="Verdana"/>
          <w:b/>
          <w:bCs/>
          <w:sz w:val="20"/>
          <w:szCs w:val="20"/>
        </w:rPr>
        <w:t>Declaraciones de capacidad y facultades</w:t>
      </w:r>
      <w:bookmarkEnd w:id="5"/>
      <w:r w:rsidRPr="16DD08BC">
        <w:rPr>
          <w:rFonts w:ascii="Verdana" w:hAnsi="Verdana"/>
          <w:b/>
          <w:bCs/>
          <w:sz w:val="20"/>
          <w:szCs w:val="20"/>
        </w:rPr>
        <w:t xml:space="preserve"> </w:t>
      </w:r>
    </w:p>
    <w:p w14:paraId="01667048" w14:textId="3672E10F" w:rsidR="57A00CAC" w:rsidRDefault="57A00CAC" w:rsidP="16DD08BC">
      <w:pPr>
        <w:spacing w:after="0"/>
        <w:rPr>
          <w:rFonts w:ascii="Verdana" w:hAnsi="Verdana"/>
          <w:sz w:val="20"/>
          <w:szCs w:val="20"/>
        </w:rPr>
      </w:pPr>
      <w:r w:rsidRPr="16DD08BC">
        <w:rPr>
          <w:rFonts w:ascii="Verdana" w:hAnsi="Verdana"/>
          <w:sz w:val="20"/>
          <w:szCs w:val="20"/>
        </w:rPr>
        <w:t>3.5.A2.11.</w:t>
      </w:r>
    </w:p>
    <w:p w14:paraId="1EAF755B" w14:textId="77777777" w:rsidR="00BA41E3" w:rsidRPr="00FE5C1C" w:rsidRDefault="00BA41E3" w:rsidP="00BA41E3">
      <w:pPr>
        <w:tabs>
          <w:tab w:val="left" w:pos="851"/>
          <w:tab w:val="num" w:pos="926"/>
        </w:tabs>
        <w:jc w:val="both"/>
        <w:rPr>
          <w:rFonts w:ascii="Verdana" w:hAnsi="Verdana" w:cs="Arial"/>
          <w:sz w:val="20"/>
          <w:szCs w:val="20"/>
        </w:rPr>
      </w:pPr>
      <w:r w:rsidRPr="16DD08BC">
        <w:rPr>
          <w:rFonts w:ascii="Verdana" w:hAnsi="Verdana" w:cs="Arial"/>
          <w:sz w:val="20"/>
          <w:szCs w:val="20"/>
        </w:rPr>
        <w:t>Se deben especificar claramente las personas facultadas para comprometer a la entidad a través del contrato marco, el suplemento y las cartas de confirmación. Para el caso de las entidades vigiladas, se entiende que está facultado para suscribir dicho contrato cualquiera de los representantes legales debidamente posesionados ante la SFC.</w:t>
      </w:r>
    </w:p>
    <w:p w14:paraId="18D9DCDC" w14:textId="0426CBFC" w:rsidR="393B711D" w:rsidRDefault="393B711D" w:rsidP="16DD08BC">
      <w:pPr>
        <w:spacing w:after="0"/>
        <w:rPr>
          <w:rFonts w:ascii="Verdana" w:hAnsi="Verdana"/>
          <w:sz w:val="20"/>
          <w:szCs w:val="20"/>
        </w:rPr>
      </w:pPr>
      <w:r w:rsidRPr="16DD08BC">
        <w:rPr>
          <w:rFonts w:ascii="Verdana" w:hAnsi="Verdana"/>
          <w:sz w:val="20"/>
          <w:szCs w:val="20"/>
        </w:rPr>
        <w:t>3.5.A2.12.</w:t>
      </w:r>
    </w:p>
    <w:p w14:paraId="40572C59" w14:textId="500FE25E" w:rsidR="00BA41E3" w:rsidRPr="00FE5C1C" w:rsidRDefault="00BA41E3" w:rsidP="001F4329">
      <w:pPr>
        <w:tabs>
          <w:tab w:val="left" w:pos="284"/>
        </w:tabs>
        <w:jc w:val="both"/>
        <w:rPr>
          <w:rFonts w:ascii="Verdana" w:hAnsi="Verdana" w:cs="Arial"/>
          <w:sz w:val="20"/>
          <w:szCs w:val="20"/>
        </w:rPr>
      </w:pPr>
      <w:r w:rsidRPr="00FE5C1C">
        <w:rPr>
          <w:rFonts w:ascii="Verdana" w:hAnsi="Verdana" w:cs="Arial"/>
          <w:sz w:val="20"/>
          <w:szCs w:val="20"/>
        </w:rPr>
        <w:t>Para autorizar a una persona diferente al representante legal para suscribir las cartas de confirmación, se debe anexar al contrato marco la lista de personas expresamente autorizadas.</w:t>
      </w:r>
    </w:p>
    <w:p w14:paraId="0785499D" w14:textId="4F7C8584" w:rsidR="00BA41E3" w:rsidRDefault="00BA41E3" w:rsidP="00734CF0">
      <w:pPr>
        <w:rPr>
          <w:rFonts w:ascii="Verdana" w:hAnsi="Verdana" w:cs="Arial"/>
          <w:sz w:val="20"/>
          <w:szCs w:val="20"/>
        </w:rPr>
      </w:pPr>
      <w:bookmarkStart w:id="6" w:name="_Toc3399963"/>
      <w:r w:rsidRPr="16DD08BC">
        <w:rPr>
          <w:rFonts w:ascii="Verdana" w:hAnsi="Verdana"/>
          <w:b/>
          <w:bCs/>
          <w:sz w:val="20"/>
          <w:szCs w:val="20"/>
        </w:rPr>
        <w:t>Eventos de terminación anticipada</w:t>
      </w:r>
      <w:bookmarkEnd w:id="6"/>
      <w:r w:rsidRPr="16DD08BC">
        <w:rPr>
          <w:rFonts w:ascii="Verdana" w:hAnsi="Verdana"/>
          <w:b/>
          <w:bCs/>
          <w:sz w:val="20"/>
          <w:szCs w:val="20"/>
        </w:rPr>
        <w:t xml:space="preserve"> </w:t>
      </w:r>
    </w:p>
    <w:p w14:paraId="2F190A39" w14:textId="489D2436" w:rsidR="2AE72D96" w:rsidRDefault="2AE72D96" w:rsidP="16DD08BC">
      <w:pPr>
        <w:spacing w:after="0"/>
        <w:rPr>
          <w:rFonts w:ascii="Verdana" w:hAnsi="Verdana"/>
          <w:sz w:val="20"/>
          <w:szCs w:val="20"/>
        </w:rPr>
      </w:pPr>
      <w:r w:rsidRPr="16DD08BC">
        <w:rPr>
          <w:rFonts w:ascii="Verdana" w:hAnsi="Verdana"/>
          <w:sz w:val="20"/>
          <w:szCs w:val="20"/>
        </w:rPr>
        <w:t>3.5.A2.13.</w:t>
      </w:r>
    </w:p>
    <w:p w14:paraId="1C966018" w14:textId="375E4B85" w:rsidR="00BA41E3" w:rsidRPr="001A39E7" w:rsidRDefault="00BA41E3" w:rsidP="00BA41E3">
      <w:pPr>
        <w:tabs>
          <w:tab w:val="left" w:pos="851"/>
          <w:tab w:val="num" w:pos="926"/>
        </w:tabs>
        <w:jc w:val="both"/>
        <w:rPr>
          <w:rFonts w:ascii="Verdana" w:hAnsi="Verdana" w:cs="Arial"/>
          <w:sz w:val="20"/>
          <w:szCs w:val="20"/>
        </w:rPr>
      </w:pPr>
      <w:r w:rsidRPr="16DD08BC">
        <w:rPr>
          <w:rFonts w:ascii="Verdana" w:hAnsi="Verdana" w:cs="Arial"/>
          <w:sz w:val="20"/>
          <w:szCs w:val="20"/>
        </w:rPr>
        <w:t xml:space="preserve">Además de los eventos de terminación anticipada previstos en la normatividad aplicable, los contratos marco deben contener los eventos que se consideran como justa causa para la terminación anticipada de las operaciones con instrumentos financieros derivados bajo el amparo de estos, </w:t>
      </w:r>
      <w:bookmarkStart w:id="7" w:name="_Hlk11247900"/>
      <w:r w:rsidRPr="16DD08BC">
        <w:rPr>
          <w:rFonts w:ascii="Verdana" w:hAnsi="Verdana" w:cs="Arial"/>
          <w:sz w:val="20"/>
          <w:szCs w:val="20"/>
        </w:rPr>
        <w:t>los cuales deben incluir, como mínimo, cualquier evento que tenga como consecuencia la disminución de la calificación de riesgo en al menos en 2 niveles por debajo de la calificación inicial de una o ambas partes, según lo acordado.</w:t>
      </w:r>
      <w:bookmarkEnd w:id="7"/>
      <w:r w:rsidRPr="16DD08BC">
        <w:rPr>
          <w:rFonts w:ascii="Verdana" w:hAnsi="Verdana" w:cs="Arial"/>
          <w:sz w:val="20"/>
          <w:szCs w:val="20"/>
        </w:rPr>
        <w:t xml:space="preserve"> Esta calificación inicial será la del momento de celebración del contrato marco y/o la del momento de la negociación de cada operación, de acuerdo </w:t>
      </w:r>
      <w:r w:rsidR="004C54E8">
        <w:rPr>
          <w:rFonts w:ascii="Verdana" w:hAnsi="Verdana" w:cs="Arial"/>
          <w:sz w:val="20"/>
          <w:szCs w:val="20"/>
        </w:rPr>
        <w:t>con</w:t>
      </w:r>
      <w:r w:rsidRPr="16DD08BC">
        <w:rPr>
          <w:rFonts w:ascii="Verdana" w:hAnsi="Verdana" w:cs="Arial"/>
          <w:sz w:val="20"/>
          <w:szCs w:val="20"/>
        </w:rPr>
        <w:t xml:space="preserve"> lo que determinen las partes.</w:t>
      </w:r>
    </w:p>
    <w:p w14:paraId="1E2BBEB0" w14:textId="7FA6D397" w:rsidR="7FBB31A6" w:rsidRDefault="7FBB31A6" w:rsidP="16DD08BC">
      <w:pPr>
        <w:spacing w:after="0"/>
        <w:rPr>
          <w:rFonts w:ascii="Verdana" w:hAnsi="Verdana"/>
          <w:sz w:val="20"/>
          <w:szCs w:val="20"/>
        </w:rPr>
      </w:pPr>
      <w:r w:rsidRPr="16DD08BC">
        <w:rPr>
          <w:rFonts w:ascii="Verdana" w:hAnsi="Verdana"/>
          <w:sz w:val="20"/>
          <w:szCs w:val="20"/>
        </w:rPr>
        <w:t>3.5.A2.14.</w:t>
      </w:r>
    </w:p>
    <w:p w14:paraId="731981BF" w14:textId="77777777" w:rsidR="00BA41E3" w:rsidRPr="001A39E7" w:rsidRDefault="00BA41E3" w:rsidP="00BA41E3">
      <w:pPr>
        <w:tabs>
          <w:tab w:val="left" w:pos="851"/>
          <w:tab w:val="num" w:pos="926"/>
        </w:tabs>
        <w:jc w:val="both"/>
        <w:rPr>
          <w:rFonts w:ascii="Verdana" w:hAnsi="Verdana" w:cs="Arial"/>
          <w:sz w:val="20"/>
          <w:szCs w:val="20"/>
        </w:rPr>
      </w:pPr>
      <w:r w:rsidRPr="16DD08BC">
        <w:rPr>
          <w:rFonts w:ascii="Verdana" w:hAnsi="Verdana" w:cs="Arial"/>
          <w:sz w:val="20"/>
          <w:szCs w:val="20"/>
        </w:rPr>
        <w:t>Para los casos de entidades que no estén calificadas por una sociedad calificadora de riesgo, las partes deben definir los criterios objetivos que sirven para determinar la terminación anticipada.</w:t>
      </w:r>
    </w:p>
    <w:p w14:paraId="560EF8C5" w14:textId="397B3AE8" w:rsidR="7688AF8D" w:rsidRDefault="7688AF8D" w:rsidP="16DD08BC">
      <w:pPr>
        <w:spacing w:after="0"/>
        <w:rPr>
          <w:rFonts w:ascii="Verdana" w:hAnsi="Verdana"/>
          <w:sz w:val="20"/>
          <w:szCs w:val="20"/>
        </w:rPr>
      </w:pPr>
      <w:r w:rsidRPr="16DD08BC">
        <w:rPr>
          <w:rFonts w:ascii="Verdana" w:hAnsi="Verdana"/>
          <w:sz w:val="20"/>
          <w:szCs w:val="20"/>
        </w:rPr>
        <w:t>3.5.A2.15.</w:t>
      </w:r>
    </w:p>
    <w:p w14:paraId="16E09878" w14:textId="77777777" w:rsidR="00BA41E3" w:rsidRPr="005A431F" w:rsidRDefault="00BA41E3" w:rsidP="00BA41E3">
      <w:pPr>
        <w:tabs>
          <w:tab w:val="left" w:pos="284"/>
        </w:tabs>
        <w:jc w:val="both"/>
        <w:rPr>
          <w:rFonts w:ascii="Verdana" w:hAnsi="Verdana" w:cs="Arial"/>
          <w:sz w:val="20"/>
          <w:szCs w:val="20"/>
        </w:rPr>
      </w:pPr>
      <w:r w:rsidRPr="005A431F">
        <w:rPr>
          <w:rFonts w:ascii="Verdana" w:hAnsi="Verdana" w:cs="Arial"/>
          <w:sz w:val="20"/>
          <w:szCs w:val="20"/>
        </w:rPr>
        <w:t>Las causales previstas en el contrato para la terminación anticipada pueden ser enervadas por mutuo acuerdo de las partes contratantes, siempre y cuando la parte que ha incurrido en la causal ofrezca garantías adicionales a su contraparte de manera tal que se mitigue el riesgo que genera la baja de calificación. En el contrato marco se deben estipular cuáles son dichas garantías. Las partes pueden definir otros mecanismos para enervar las mencionadas causales, siempre que estos tengan como efecto mitigar el riesgo que genera la baja de calificación. En el contrato marco se deben estipular estos mecanismos.</w:t>
      </w:r>
    </w:p>
    <w:p w14:paraId="358163E3" w14:textId="39E78B0B" w:rsidR="00BA41E3" w:rsidRDefault="00BA41E3" w:rsidP="00734CF0">
      <w:pPr>
        <w:rPr>
          <w:rFonts w:ascii="Verdana" w:hAnsi="Verdana"/>
          <w:sz w:val="20"/>
          <w:szCs w:val="20"/>
        </w:rPr>
      </w:pPr>
      <w:bookmarkStart w:id="8" w:name="_Toc3399964"/>
      <w:r w:rsidRPr="16DD08BC">
        <w:rPr>
          <w:rFonts w:ascii="Verdana" w:hAnsi="Verdana"/>
          <w:b/>
          <w:bCs/>
          <w:sz w:val="20"/>
          <w:szCs w:val="20"/>
        </w:rPr>
        <w:t>Eventos de incumplimiento</w:t>
      </w:r>
      <w:bookmarkEnd w:id="8"/>
      <w:r w:rsidRPr="16DD08BC">
        <w:rPr>
          <w:rFonts w:ascii="Verdana" w:hAnsi="Verdana"/>
          <w:b/>
          <w:bCs/>
          <w:sz w:val="20"/>
          <w:szCs w:val="20"/>
        </w:rPr>
        <w:t xml:space="preserve"> </w:t>
      </w:r>
    </w:p>
    <w:p w14:paraId="335863B1" w14:textId="495317AA" w:rsidR="6B174AF3" w:rsidRDefault="6B174AF3" w:rsidP="16DD08BC">
      <w:pPr>
        <w:spacing w:after="0"/>
        <w:rPr>
          <w:rFonts w:ascii="Verdana" w:hAnsi="Verdana"/>
          <w:sz w:val="20"/>
          <w:szCs w:val="20"/>
        </w:rPr>
      </w:pPr>
      <w:r w:rsidRPr="16DD08BC">
        <w:rPr>
          <w:rFonts w:ascii="Verdana" w:hAnsi="Verdana"/>
          <w:sz w:val="20"/>
          <w:szCs w:val="20"/>
        </w:rPr>
        <w:t>3.5.A2.16.</w:t>
      </w:r>
    </w:p>
    <w:p w14:paraId="55C3C2E1" w14:textId="77777777" w:rsidR="00BA41E3" w:rsidRPr="005A431F" w:rsidRDefault="00BA41E3" w:rsidP="00BA41E3">
      <w:pPr>
        <w:tabs>
          <w:tab w:val="num" w:pos="926"/>
          <w:tab w:val="num" w:pos="2880"/>
        </w:tabs>
        <w:jc w:val="both"/>
        <w:rPr>
          <w:rFonts w:ascii="Verdana" w:hAnsi="Verdana" w:cs="Arial"/>
          <w:sz w:val="20"/>
          <w:szCs w:val="20"/>
        </w:rPr>
      </w:pPr>
      <w:r w:rsidRPr="005A431F">
        <w:rPr>
          <w:rFonts w:ascii="Verdana" w:hAnsi="Verdana" w:cs="Arial"/>
          <w:sz w:val="20"/>
          <w:szCs w:val="20"/>
        </w:rPr>
        <w:t>Los contratos marco deben contener, como mínimo, los 3 eventos de incumplimiento siguientes:</w:t>
      </w:r>
    </w:p>
    <w:p w14:paraId="52180702" w14:textId="37840DFA" w:rsidR="00BA41E3" w:rsidRDefault="00BA41E3" w:rsidP="00BA41E3">
      <w:pPr>
        <w:pStyle w:val="Prrafodelista"/>
        <w:numPr>
          <w:ilvl w:val="0"/>
          <w:numId w:val="14"/>
        </w:numPr>
        <w:tabs>
          <w:tab w:val="left" w:pos="567"/>
        </w:tabs>
        <w:ind w:left="567" w:hanging="567"/>
        <w:jc w:val="both"/>
        <w:rPr>
          <w:rFonts w:ascii="Verdana" w:hAnsi="Verdana" w:cs="Arial"/>
          <w:sz w:val="20"/>
          <w:szCs w:val="20"/>
        </w:rPr>
      </w:pPr>
      <w:r w:rsidRPr="005A1F4D">
        <w:rPr>
          <w:rFonts w:ascii="Verdana" w:hAnsi="Verdana" w:cs="Arial"/>
          <w:sz w:val="20"/>
          <w:szCs w:val="20"/>
        </w:rPr>
        <w:t xml:space="preserve">Mora en el pago de los flujos de las operaciones con instrumentos financieros derivados o en la entrega del subyacente, siempre y cuando dicha omisión no haya sido remediada como máximo el décimo día hábil siguiente a la fecha en la cual se haya presentado la ausencia de pago o de entrega que da origen al incumplimiento </w:t>
      </w:r>
      <w:r w:rsidRPr="005A1F4D">
        <w:rPr>
          <w:rFonts w:ascii="Verdana" w:hAnsi="Verdana" w:cs="Arial"/>
          <w:sz w:val="20"/>
          <w:szCs w:val="20"/>
        </w:rPr>
        <w:lastRenderedPageBreak/>
        <w:t>respectivo. Las partes pueden convenir un término inferior a los 10 días hábiles, no prorrogables;</w:t>
      </w:r>
    </w:p>
    <w:p w14:paraId="7ED1A653" w14:textId="77777777" w:rsidR="00BA41E3" w:rsidRPr="005A1F4D" w:rsidRDefault="00BA41E3" w:rsidP="00BA41E3">
      <w:pPr>
        <w:pStyle w:val="Prrafodelista"/>
        <w:tabs>
          <w:tab w:val="left" w:pos="567"/>
        </w:tabs>
        <w:ind w:left="567"/>
        <w:jc w:val="both"/>
        <w:rPr>
          <w:rFonts w:ascii="Verdana" w:hAnsi="Verdana" w:cs="Arial"/>
          <w:sz w:val="20"/>
          <w:szCs w:val="20"/>
        </w:rPr>
      </w:pPr>
    </w:p>
    <w:p w14:paraId="4BE6ACBF" w14:textId="77777777" w:rsidR="00BA41E3" w:rsidRDefault="00BA41E3" w:rsidP="00BA41E3">
      <w:pPr>
        <w:pStyle w:val="Prrafodelista"/>
        <w:numPr>
          <w:ilvl w:val="0"/>
          <w:numId w:val="14"/>
        </w:numPr>
        <w:tabs>
          <w:tab w:val="left" w:pos="567"/>
        </w:tabs>
        <w:ind w:left="567" w:hanging="567"/>
        <w:jc w:val="both"/>
        <w:rPr>
          <w:rFonts w:ascii="Verdana" w:hAnsi="Verdana" w:cs="Arial"/>
          <w:sz w:val="20"/>
          <w:szCs w:val="20"/>
        </w:rPr>
      </w:pPr>
      <w:r w:rsidRPr="005A1F4D">
        <w:rPr>
          <w:rFonts w:ascii="Verdana" w:hAnsi="Verdana" w:cs="Arial"/>
          <w:sz w:val="20"/>
          <w:szCs w:val="20"/>
        </w:rPr>
        <w:t>Incumplimiento en la entrega, pago, constitución, o intercambio de garantías de acuerdo con lo establecido por las partes en el acuerdo de intercambio de garantías, siempre y cuando dicha omisión no haya sido remediada como máximo el décimo (10°) día hábil siguiente a la fecha en la cual se haya presentado el incumplimiento respectivo. Las partes pueden convenir un término inferior a los 10 días hábiles, no prorrogables, sin perjuicio del periodo de resolución de disputas establecido por las partes.</w:t>
      </w:r>
    </w:p>
    <w:p w14:paraId="6B7DF91F" w14:textId="77777777" w:rsidR="00BA41E3" w:rsidRPr="00245849" w:rsidRDefault="00BA41E3" w:rsidP="00BA41E3">
      <w:pPr>
        <w:pStyle w:val="Prrafodelista"/>
        <w:rPr>
          <w:rFonts w:ascii="Verdana" w:hAnsi="Verdana" w:cs="Arial"/>
          <w:sz w:val="20"/>
          <w:szCs w:val="20"/>
        </w:rPr>
      </w:pPr>
    </w:p>
    <w:p w14:paraId="38596BE1" w14:textId="0B986783" w:rsidR="00BA41E3" w:rsidRPr="001F4329" w:rsidRDefault="00BA41E3" w:rsidP="001F4329">
      <w:pPr>
        <w:pStyle w:val="Prrafodelista"/>
        <w:numPr>
          <w:ilvl w:val="0"/>
          <w:numId w:val="14"/>
        </w:numPr>
        <w:tabs>
          <w:tab w:val="left" w:pos="567"/>
        </w:tabs>
        <w:ind w:left="567" w:hanging="567"/>
        <w:jc w:val="both"/>
        <w:rPr>
          <w:rFonts w:ascii="Verdana" w:hAnsi="Verdana" w:cs="Arial"/>
          <w:sz w:val="20"/>
          <w:szCs w:val="20"/>
        </w:rPr>
      </w:pPr>
      <w:r w:rsidRPr="005A1F4D">
        <w:rPr>
          <w:rFonts w:ascii="Verdana" w:hAnsi="Verdana" w:cs="Arial"/>
          <w:sz w:val="20"/>
          <w:szCs w:val="20"/>
        </w:rPr>
        <w:t>Falta de capacidad para contratar operaciones con instrumentos financieros derivados: es el incumplimiento o la no obs</w:t>
      </w:r>
      <w:r w:rsidRPr="004F3284">
        <w:rPr>
          <w:rFonts w:ascii="Verdana" w:hAnsi="Verdana" w:cs="Arial"/>
          <w:sz w:val="20"/>
          <w:szCs w:val="20"/>
        </w:rPr>
        <w:t xml:space="preserve">ervancia de los lineamientos contenidos en </w:t>
      </w:r>
      <w:r w:rsidR="004F3284" w:rsidRPr="004F3284">
        <w:rPr>
          <w:rFonts w:ascii="Verdana" w:hAnsi="Verdana" w:cs="Arial"/>
          <w:sz w:val="20"/>
          <w:szCs w:val="20"/>
        </w:rPr>
        <w:t>los párrafos 3.5.A2.11. y 3.5.A2.12</w:t>
      </w:r>
      <w:r w:rsidRPr="004F3284">
        <w:rPr>
          <w:rFonts w:ascii="Verdana" w:hAnsi="Verdana" w:cs="Arial"/>
          <w:sz w:val="20"/>
          <w:szCs w:val="20"/>
        </w:rPr>
        <w:t>.</w:t>
      </w:r>
    </w:p>
    <w:p w14:paraId="794C6C04" w14:textId="064A57A2" w:rsidR="00BA41E3" w:rsidRPr="00FE5C1C" w:rsidRDefault="00BA41E3" w:rsidP="00734CF0">
      <w:pPr>
        <w:rPr>
          <w:rFonts w:ascii="Verdana" w:hAnsi="Verdana" w:cs="Arial"/>
          <w:sz w:val="20"/>
          <w:szCs w:val="20"/>
        </w:rPr>
      </w:pPr>
      <w:bookmarkStart w:id="9" w:name="_Toc3399965"/>
      <w:r w:rsidRPr="16DD08BC">
        <w:rPr>
          <w:rFonts w:ascii="Verdana" w:hAnsi="Verdana"/>
          <w:b/>
          <w:bCs/>
          <w:sz w:val="20"/>
          <w:szCs w:val="20"/>
        </w:rPr>
        <w:t>Efectos de la terminación anticipada</w:t>
      </w:r>
      <w:bookmarkEnd w:id="9"/>
      <w:r w:rsidRPr="16DD08BC">
        <w:rPr>
          <w:rFonts w:ascii="Verdana" w:hAnsi="Verdana"/>
          <w:b/>
          <w:bCs/>
          <w:sz w:val="20"/>
          <w:szCs w:val="20"/>
        </w:rPr>
        <w:t xml:space="preserve"> </w:t>
      </w:r>
    </w:p>
    <w:p w14:paraId="20E5E8BC" w14:textId="1A703782" w:rsidR="039A88CC" w:rsidRDefault="039A88CC" w:rsidP="16DD08BC">
      <w:pPr>
        <w:spacing w:after="0"/>
        <w:rPr>
          <w:rFonts w:ascii="Verdana" w:hAnsi="Verdana"/>
          <w:sz w:val="20"/>
          <w:szCs w:val="20"/>
        </w:rPr>
      </w:pPr>
      <w:r w:rsidRPr="16DD08BC">
        <w:rPr>
          <w:rFonts w:ascii="Verdana" w:hAnsi="Verdana"/>
          <w:sz w:val="20"/>
          <w:szCs w:val="20"/>
        </w:rPr>
        <w:t>3.5.A2.17.</w:t>
      </w:r>
    </w:p>
    <w:p w14:paraId="2EF9D1AE" w14:textId="77777777" w:rsidR="00BA41E3" w:rsidRPr="00FE5C1C" w:rsidRDefault="00BA41E3" w:rsidP="00BA41E3">
      <w:pPr>
        <w:tabs>
          <w:tab w:val="left" w:pos="284"/>
          <w:tab w:val="left" w:pos="851"/>
        </w:tabs>
        <w:jc w:val="both"/>
        <w:rPr>
          <w:rFonts w:ascii="Verdana" w:hAnsi="Verdana" w:cs="Arial"/>
          <w:sz w:val="20"/>
          <w:szCs w:val="20"/>
        </w:rPr>
      </w:pPr>
      <w:r w:rsidRPr="00FE5C1C">
        <w:rPr>
          <w:rFonts w:ascii="Verdana" w:hAnsi="Verdana" w:cs="Arial"/>
          <w:sz w:val="20"/>
          <w:szCs w:val="20"/>
        </w:rPr>
        <w:t>La terminación anticipada de operaciones con instrumentos financieros derivados tiene los 3 efectos siguientes:</w:t>
      </w:r>
    </w:p>
    <w:p w14:paraId="40EDD6FA" w14:textId="57225EC5" w:rsidR="00BA41E3" w:rsidRPr="002963A6" w:rsidRDefault="00BA41E3" w:rsidP="00BA41E3">
      <w:pPr>
        <w:pStyle w:val="Prrafodelista"/>
        <w:numPr>
          <w:ilvl w:val="0"/>
          <w:numId w:val="15"/>
        </w:numPr>
        <w:tabs>
          <w:tab w:val="left" w:pos="567"/>
        </w:tabs>
        <w:ind w:left="567" w:hanging="567"/>
        <w:jc w:val="both"/>
        <w:rPr>
          <w:rFonts w:ascii="Verdana" w:hAnsi="Verdana" w:cs="Arial"/>
          <w:sz w:val="20"/>
          <w:szCs w:val="20"/>
        </w:rPr>
      </w:pPr>
      <w:r w:rsidRPr="002963A6">
        <w:rPr>
          <w:rFonts w:ascii="Verdana" w:hAnsi="Verdana" w:cs="Arial"/>
          <w:sz w:val="20"/>
          <w:szCs w:val="20"/>
        </w:rPr>
        <w:t>La extinción del plazo de las operaciones con instrumentos financieros derivados objeto de la terminación anticipada</w:t>
      </w:r>
      <w:r w:rsidR="004F3284">
        <w:rPr>
          <w:rFonts w:ascii="Verdana" w:hAnsi="Verdana" w:cs="Arial"/>
          <w:sz w:val="20"/>
          <w:szCs w:val="20"/>
        </w:rPr>
        <w:t>.</w:t>
      </w:r>
    </w:p>
    <w:p w14:paraId="38CCED1C" w14:textId="77777777" w:rsidR="004F3284" w:rsidRDefault="004F3284" w:rsidP="004F3284">
      <w:pPr>
        <w:pStyle w:val="Prrafodelista"/>
        <w:tabs>
          <w:tab w:val="left" w:pos="567"/>
        </w:tabs>
        <w:ind w:left="567"/>
        <w:jc w:val="both"/>
        <w:rPr>
          <w:rFonts w:ascii="Verdana" w:hAnsi="Verdana" w:cs="Arial"/>
          <w:sz w:val="20"/>
          <w:szCs w:val="20"/>
        </w:rPr>
      </w:pPr>
    </w:p>
    <w:p w14:paraId="7F5D1BB1" w14:textId="66DE78F2" w:rsidR="00BA41E3" w:rsidRPr="002963A6" w:rsidRDefault="00BA41E3" w:rsidP="00BA41E3">
      <w:pPr>
        <w:pStyle w:val="Prrafodelista"/>
        <w:numPr>
          <w:ilvl w:val="0"/>
          <w:numId w:val="15"/>
        </w:numPr>
        <w:tabs>
          <w:tab w:val="left" w:pos="567"/>
        </w:tabs>
        <w:ind w:left="567" w:hanging="567"/>
        <w:jc w:val="both"/>
        <w:rPr>
          <w:rFonts w:ascii="Verdana" w:hAnsi="Verdana" w:cs="Arial"/>
          <w:sz w:val="20"/>
          <w:szCs w:val="20"/>
        </w:rPr>
      </w:pPr>
      <w:r w:rsidRPr="002963A6">
        <w:rPr>
          <w:rFonts w:ascii="Verdana" w:hAnsi="Verdana" w:cs="Arial"/>
          <w:sz w:val="20"/>
          <w:szCs w:val="20"/>
        </w:rPr>
        <w:t>La liquidación anticipada de las operaciones con instrumentos financieros derivados objeto de terminación</w:t>
      </w:r>
      <w:r w:rsidR="004F3284">
        <w:rPr>
          <w:rFonts w:ascii="Verdana" w:hAnsi="Verdana" w:cs="Arial"/>
          <w:sz w:val="20"/>
          <w:szCs w:val="20"/>
        </w:rPr>
        <w:t>.</w:t>
      </w:r>
    </w:p>
    <w:p w14:paraId="2CF74C02" w14:textId="77777777" w:rsidR="004F3284" w:rsidRDefault="004F3284" w:rsidP="004F3284">
      <w:pPr>
        <w:pStyle w:val="Prrafodelista"/>
        <w:tabs>
          <w:tab w:val="left" w:pos="567"/>
        </w:tabs>
        <w:ind w:left="567"/>
        <w:jc w:val="both"/>
        <w:rPr>
          <w:rFonts w:ascii="Verdana" w:hAnsi="Verdana" w:cs="Arial"/>
          <w:sz w:val="20"/>
          <w:szCs w:val="20"/>
        </w:rPr>
      </w:pPr>
    </w:p>
    <w:p w14:paraId="3AAACD8B" w14:textId="73B8F6FA" w:rsidR="00BA41E3" w:rsidRPr="00B95032" w:rsidRDefault="00BA41E3" w:rsidP="00B95032">
      <w:pPr>
        <w:pStyle w:val="Prrafodelista"/>
        <w:numPr>
          <w:ilvl w:val="0"/>
          <w:numId w:val="15"/>
        </w:numPr>
        <w:tabs>
          <w:tab w:val="left" w:pos="567"/>
        </w:tabs>
        <w:ind w:left="567" w:hanging="567"/>
        <w:jc w:val="both"/>
        <w:rPr>
          <w:rFonts w:ascii="Verdana" w:hAnsi="Verdana" w:cs="Arial"/>
          <w:sz w:val="20"/>
          <w:szCs w:val="20"/>
        </w:rPr>
      </w:pPr>
      <w:r w:rsidRPr="002963A6">
        <w:rPr>
          <w:rFonts w:ascii="Verdana" w:hAnsi="Verdana" w:cs="Arial"/>
          <w:sz w:val="20"/>
          <w:szCs w:val="20"/>
        </w:rPr>
        <w:t xml:space="preserve">Cuando las partes del instrumento financiero terminado lleguen a ser deudoras recíprocamente de sumas de dinero exigibles y líquidas, se extinguen las obligaciones existentes entre ellas por el mecanismo de compensación, siempre que así se encuentre pactado en el contrato marco. Lo anterior, de acuerdo con los criterios generales contenidos en el artículo 1714 y siguientes del Código Civil, así como lo previsto en el </w:t>
      </w:r>
      <w:r w:rsidR="002B641A">
        <w:rPr>
          <w:rFonts w:ascii="Verdana" w:hAnsi="Verdana" w:cs="Arial"/>
          <w:sz w:val="20"/>
          <w:szCs w:val="20"/>
        </w:rPr>
        <w:t>l</w:t>
      </w:r>
      <w:r w:rsidRPr="002963A6">
        <w:rPr>
          <w:rFonts w:ascii="Verdana" w:hAnsi="Verdana" w:cs="Arial"/>
          <w:sz w:val="20"/>
          <w:szCs w:val="20"/>
        </w:rPr>
        <w:t xml:space="preserve">ibro 35 de la </w:t>
      </w:r>
      <w:r w:rsidR="002B641A">
        <w:rPr>
          <w:rFonts w:ascii="Verdana" w:hAnsi="Verdana" w:cs="Arial"/>
          <w:sz w:val="20"/>
          <w:szCs w:val="20"/>
        </w:rPr>
        <w:t>p</w:t>
      </w:r>
      <w:r w:rsidRPr="002963A6">
        <w:rPr>
          <w:rFonts w:ascii="Verdana" w:hAnsi="Verdana" w:cs="Arial"/>
          <w:sz w:val="20"/>
          <w:szCs w:val="20"/>
        </w:rPr>
        <w:t xml:space="preserve">arte 2 del Decreto 2555 de 2010. </w:t>
      </w:r>
    </w:p>
    <w:p w14:paraId="0F25A7E1" w14:textId="41FD08F2" w:rsidR="00BA41E3" w:rsidRPr="00FE5C1C" w:rsidRDefault="00BA41E3" w:rsidP="00734CF0">
      <w:pPr>
        <w:rPr>
          <w:rFonts w:ascii="Verdana" w:hAnsi="Verdana" w:cs="Arial"/>
          <w:sz w:val="20"/>
          <w:szCs w:val="20"/>
        </w:rPr>
      </w:pPr>
      <w:bookmarkStart w:id="10" w:name="_Toc3399966"/>
      <w:r w:rsidRPr="16DD08BC">
        <w:rPr>
          <w:rFonts w:ascii="Verdana" w:hAnsi="Verdana"/>
          <w:b/>
          <w:bCs/>
          <w:sz w:val="20"/>
          <w:szCs w:val="20"/>
        </w:rPr>
        <w:t>Efectos del incumplimiento</w:t>
      </w:r>
      <w:bookmarkEnd w:id="10"/>
      <w:r w:rsidRPr="16DD08BC">
        <w:rPr>
          <w:rFonts w:ascii="Verdana" w:hAnsi="Verdana"/>
          <w:b/>
          <w:bCs/>
          <w:sz w:val="20"/>
          <w:szCs w:val="20"/>
        </w:rPr>
        <w:t xml:space="preserve"> </w:t>
      </w:r>
    </w:p>
    <w:p w14:paraId="4F6FB0AA" w14:textId="4E96D638" w:rsidR="14462C2F" w:rsidRDefault="14462C2F" w:rsidP="16DD08BC">
      <w:pPr>
        <w:spacing w:after="0"/>
        <w:rPr>
          <w:rFonts w:ascii="Verdana" w:hAnsi="Verdana"/>
          <w:sz w:val="20"/>
          <w:szCs w:val="20"/>
        </w:rPr>
      </w:pPr>
      <w:r w:rsidRPr="16DD08BC">
        <w:rPr>
          <w:rFonts w:ascii="Verdana" w:hAnsi="Verdana"/>
          <w:sz w:val="20"/>
          <w:szCs w:val="20"/>
        </w:rPr>
        <w:t>3.5.A2.18.</w:t>
      </w:r>
    </w:p>
    <w:p w14:paraId="29BA61A0" w14:textId="77777777" w:rsidR="00BA41E3" w:rsidRPr="00FE5C1C" w:rsidRDefault="00BA41E3" w:rsidP="00BA41E3">
      <w:pPr>
        <w:tabs>
          <w:tab w:val="left" w:pos="284"/>
          <w:tab w:val="left" w:pos="851"/>
        </w:tabs>
        <w:jc w:val="both"/>
        <w:rPr>
          <w:rFonts w:ascii="Verdana" w:hAnsi="Verdana" w:cs="Arial"/>
          <w:sz w:val="20"/>
          <w:szCs w:val="20"/>
        </w:rPr>
      </w:pPr>
      <w:r w:rsidRPr="16DD08BC">
        <w:rPr>
          <w:rFonts w:ascii="Verdana" w:hAnsi="Verdana" w:cs="Arial"/>
          <w:sz w:val="20"/>
          <w:szCs w:val="20"/>
        </w:rPr>
        <w:t xml:space="preserve">Pese a las indemnizaciones de perjuicios que se puedan llegar a causar, el incumplimiento de las operaciones con instrumentos financieros derivados tiene los siguientes efectos: </w:t>
      </w:r>
    </w:p>
    <w:p w14:paraId="64E1CE31" w14:textId="28346A51" w:rsidR="756F8A79" w:rsidRDefault="756F8A79" w:rsidP="16DD08BC">
      <w:pPr>
        <w:spacing w:after="0"/>
        <w:rPr>
          <w:rFonts w:ascii="Verdana" w:hAnsi="Verdana"/>
          <w:sz w:val="20"/>
          <w:szCs w:val="20"/>
        </w:rPr>
      </w:pPr>
      <w:r w:rsidRPr="16DD08BC">
        <w:rPr>
          <w:rFonts w:ascii="Verdana" w:hAnsi="Verdana"/>
          <w:sz w:val="20"/>
          <w:szCs w:val="20"/>
        </w:rPr>
        <w:t>3.5.A2.19.</w:t>
      </w:r>
    </w:p>
    <w:p w14:paraId="2AD4C589" w14:textId="77777777" w:rsidR="00BA41E3" w:rsidRPr="00EF10D5" w:rsidRDefault="00BA41E3" w:rsidP="00BA41E3">
      <w:pPr>
        <w:tabs>
          <w:tab w:val="left" w:pos="567"/>
        </w:tabs>
        <w:jc w:val="both"/>
        <w:rPr>
          <w:rFonts w:ascii="Verdana" w:hAnsi="Verdana" w:cs="Arial"/>
          <w:sz w:val="20"/>
          <w:szCs w:val="20"/>
        </w:rPr>
      </w:pPr>
      <w:r w:rsidRPr="16DD08BC">
        <w:rPr>
          <w:rFonts w:ascii="Verdana" w:hAnsi="Verdana" w:cs="Arial"/>
          <w:sz w:val="20"/>
          <w:szCs w:val="20"/>
        </w:rPr>
        <w:t>La extinción del plazo de las operaciones con instrumentos financieros derivados objeto de incumplimiento.</w:t>
      </w:r>
    </w:p>
    <w:p w14:paraId="00F7106C" w14:textId="508188BC" w:rsidR="0781BB02" w:rsidRDefault="0781BB02" w:rsidP="16DD08BC">
      <w:pPr>
        <w:spacing w:after="0"/>
        <w:rPr>
          <w:rFonts w:ascii="Verdana" w:hAnsi="Verdana"/>
          <w:sz w:val="20"/>
          <w:szCs w:val="20"/>
        </w:rPr>
      </w:pPr>
      <w:r w:rsidRPr="16DD08BC">
        <w:rPr>
          <w:rFonts w:ascii="Verdana" w:hAnsi="Verdana"/>
          <w:sz w:val="20"/>
          <w:szCs w:val="20"/>
        </w:rPr>
        <w:t>3.5.A2.20.</w:t>
      </w:r>
    </w:p>
    <w:p w14:paraId="16FA1818" w14:textId="2DEE849C" w:rsidR="00BA41E3" w:rsidRPr="00EF10D5" w:rsidRDefault="00BA41E3" w:rsidP="00BA41E3">
      <w:pPr>
        <w:tabs>
          <w:tab w:val="left" w:pos="1134"/>
        </w:tabs>
        <w:jc w:val="both"/>
        <w:rPr>
          <w:rFonts w:ascii="Verdana" w:hAnsi="Verdana" w:cs="Arial"/>
          <w:sz w:val="20"/>
          <w:szCs w:val="20"/>
        </w:rPr>
      </w:pPr>
      <w:r w:rsidRPr="16DD08BC">
        <w:rPr>
          <w:rFonts w:ascii="Verdana" w:hAnsi="Verdana" w:cs="Arial"/>
          <w:sz w:val="20"/>
          <w:szCs w:val="20"/>
        </w:rPr>
        <w:t>Las partes pueden acordar expresamente en el contrato marco que el incumplimiento genere la extinción del plazo de todas las demás operaciones con instrumentos financieros derivados no estandarizadas o negociadas en el OTC con la respectiva contraparte, incluso respecto de aquéllas aún no vencidas</w:t>
      </w:r>
      <w:r w:rsidR="004F3284">
        <w:rPr>
          <w:rFonts w:ascii="Verdana" w:hAnsi="Verdana" w:cs="Arial"/>
          <w:sz w:val="20"/>
          <w:szCs w:val="20"/>
        </w:rPr>
        <w:t>.</w:t>
      </w:r>
    </w:p>
    <w:p w14:paraId="7379882D" w14:textId="6866FF62" w:rsidR="17869B12" w:rsidRDefault="17869B12" w:rsidP="16DD08BC">
      <w:pPr>
        <w:spacing w:after="0"/>
        <w:rPr>
          <w:rFonts w:ascii="Verdana" w:hAnsi="Verdana"/>
          <w:sz w:val="20"/>
          <w:szCs w:val="20"/>
        </w:rPr>
      </w:pPr>
      <w:r w:rsidRPr="16DD08BC">
        <w:rPr>
          <w:rFonts w:ascii="Verdana" w:hAnsi="Verdana"/>
          <w:sz w:val="20"/>
          <w:szCs w:val="20"/>
        </w:rPr>
        <w:t>3.5.A2.21.</w:t>
      </w:r>
    </w:p>
    <w:p w14:paraId="74E91AF7" w14:textId="77777777" w:rsidR="00BA41E3" w:rsidRPr="000E7C86" w:rsidRDefault="00BA41E3" w:rsidP="00BA41E3">
      <w:pPr>
        <w:tabs>
          <w:tab w:val="left" w:pos="567"/>
        </w:tabs>
        <w:jc w:val="both"/>
        <w:rPr>
          <w:rFonts w:ascii="Verdana" w:hAnsi="Verdana" w:cs="Arial"/>
          <w:sz w:val="20"/>
          <w:szCs w:val="20"/>
        </w:rPr>
      </w:pPr>
      <w:r w:rsidRPr="16DD08BC">
        <w:rPr>
          <w:rFonts w:ascii="Verdana" w:hAnsi="Verdana" w:cs="Arial"/>
          <w:sz w:val="20"/>
          <w:szCs w:val="20"/>
        </w:rPr>
        <w:t>La liquidación anticipada de las operaciones con instrumentos financieros derivados.</w:t>
      </w:r>
    </w:p>
    <w:p w14:paraId="66057161" w14:textId="391CED6D" w:rsidR="22BC23CA" w:rsidRDefault="22BC23CA" w:rsidP="16DD08BC">
      <w:pPr>
        <w:spacing w:after="0"/>
        <w:rPr>
          <w:rFonts w:ascii="Verdana" w:hAnsi="Verdana"/>
          <w:sz w:val="20"/>
          <w:szCs w:val="20"/>
        </w:rPr>
      </w:pPr>
      <w:r w:rsidRPr="16DD08BC">
        <w:rPr>
          <w:rFonts w:ascii="Verdana" w:hAnsi="Verdana"/>
          <w:sz w:val="20"/>
          <w:szCs w:val="20"/>
        </w:rPr>
        <w:t>3.5.A2.22.</w:t>
      </w:r>
    </w:p>
    <w:p w14:paraId="324460BA" w14:textId="326231CF" w:rsidR="00BA41E3" w:rsidRDefault="00BA41E3" w:rsidP="00BA41E3">
      <w:pPr>
        <w:tabs>
          <w:tab w:val="left" w:pos="1134"/>
        </w:tabs>
        <w:jc w:val="both"/>
        <w:rPr>
          <w:rFonts w:ascii="Verdana" w:hAnsi="Verdana" w:cs="Arial"/>
          <w:sz w:val="20"/>
          <w:szCs w:val="20"/>
        </w:rPr>
      </w:pPr>
      <w:r w:rsidRPr="16DD08BC">
        <w:rPr>
          <w:rFonts w:ascii="Verdana" w:hAnsi="Verdana" w:cs="Arial"/>
          <w:sz w:val="20"/>
          <w:szCs w:val="20"/>
        </w:rPr>
        <w:t>Las partes pueden acordar expresamente en el contrato marco que el incumplimiento genere la liquidación anticipada de todas las demás operaciones con instrumentos financieros derivados no estandarizadas o negociadas en el OTC con la respectiva contraparte</w:t>
      </w:r>
      <w:r w:rsidR="004F3284">
        <w:rPr>
          <w:rFonts w:ascii="Verdana" w:hAnsi="Verdana" w:cs="Arial"/>
          <w:sz w:val="20"/>
          <w:szCs w:val="20"/>
        </w:rPr>
        <w:t>.</w:t>
      </w:r>
    </w:p>
    <w:p w14:paraId="0A0B542D" w14:textId="0717362B" w:rsidR="3DCE649F" w:rsidRDefault="3DCE649F" w:rsidP="16DD08BC">
      <w:pPr>
        <w:spacing w:after="0"/>
        <w:rPr>
          <w:rFonts w:ascii="Verdana" w:hAnsi="Verdana"/>
          <w:sz w:val="20"/>
          <w:szCs w:val="20"/>
        </w:rPr>
      </w:pPr>
      <w:r w:rsidRPr="16DD08BC">
        <w:rPr>
          <w:rFonts w:ascii="Verdana" w:hAnsi="Verdana"/>
          <w:sz w:val="20"/>
          <w:szCs w:val="20"/>
        </w:rPr>
        <w:t>3.5.A2.23.</w:t>
      </w:r>
    </w:p>
    <w:p w14:paraId="7D229223" w14:textId="1818FBEC" w:rsidR="00BA41E3" w:rsidRDefault="00BA41E3" w:rsidP="00B95032">
      <w:pPr>
        <w:tabs>
          <w:tab w:val="left" w:pos="1134"/>
        </w:tabs>
        <w:jc w:val="both"/>
        <w:rPr>
          <w:rFonts w:ascii="Verdana" w:hAnsi="Verdana" w:cs="Arial"/>
          <w:sz w:val="20"/>
          <w:szCs w:val="20"/>
        </w:rPr>
      </w:pPr>
      <w:r w:rsidRPr="007831CC">
        <w:rPr>
          <w:rFonts w:ascii="Verdana" w:hAnsi="Verdana" w:cs="Arial"/>
          <w:sz w:val="20"/>
          <w:szCs w:val="20"/>
        </w:rPr>
        <w:t xml:space="preserve">Para el caso en el que las partes lleguen a ser deudoras recíprocamente de sumas de dinero exigibles y líquidas, se extinguen las obligaciones existentes entre ellas por el mecanismo de compensación, siempre que así se encuentre pactado en el acuerdo marco. Lo anterior, de acuerdo con los criterios generales contenidos en el artículo 1714 y siguientes del Código Civil, así como lo previsto en el Libro 35 de la Parte 2 del Decreto 2555 de 2010. </w:t>
      </w:r>
    </w:p>
    <w:p w14:paraId="40BAE0C1" w14:textId="77777777" w:rsidR="004F3284" w:rsidRPr="001A6D03" w:rsidRDefault="004F3284" w:rsidP="00B95032">
      <w:pPr>
        <w:tabs>
          <w:tab w:val="left" w:pos="1134"/>
        </w:tabs>
        <w:jc w:val="both"/>
        <w:rPr>
          <w:rFonts w:ascii="Verdana" w:hAnsi="Verdana" w:cs="Arial"/>
          <w:sz w:val="20"/>
          <w:szCs w:val="20"/>
        </w:rPr>
      </w:pPr>
    </w:p>
    <w:p w14:paraId="586682F7" w14:textId="496BCE6C" w:rsidR="00BA41E3" w:rsidRDefault="00BA41E3" w:rsidP="00734CF0">
      <w:pPr>
        <w:rPr>
          <w:rFonts w:ascii="Verdana" w:hAnsi="Verdana" w:cs="Arial"/>
          <w:sz w:val="20"/>
          <w:szCs w:val="20"/>
        </w:rPr>
      </w:pPr>
      <w:bookmarkStart w:id="11" w:name="_Toc3399967"/>
      <w:r w:rsidRPr="16DD08BC">
        <w:rPr>
          <w:rFonts w:ascii="Verdana" w:hAnsi="Verdana"/>
          <w:b/>
          <w:bCs/>
          <w:sz w:val="20"/>
          <w:szCs w:val="20"/>
        </w:rPr>
        <w:t>Cláusulas especiales</w:t>
      </w:r>
      <w:bookmarkEnd w:id="11"/>
      <w:r w:rsidRPr="16DD08BC">
        <w:rPr>
          <w:rFonts w:ascii="Verdana" w:hAnsi="Verdana"/>
          <w:b/>
          <w:bCs/>
          <w:sz w:val="20"/>
          <w:szCs w:val="20"/>
        </w:rPr>
        <w:t xml:space="preserve"> </w:t>
      </w:r>
    </w:p>
    <w:p w14:paraId="232E90E1" w14:textId="71BAFC79" w:rsidR="6E056C30" w:rsidRDefault="6E056C30" w:rsidP="16DD08BC">
      <w:pPr>
        <w:spacing w:after="0"/>
        <w:rPr>
          <w:rFonts w:ascii="Verdana" w:hAnsi="Verdana"/>
          <w:sz w:val="20"/>
          <w:szCs w:val="20"/>
        </w:rPr>
      </w:pPr>
      <w:r w:rsidRPr="16DD08BC">
        <w:rPr>
          <w:rFonts w:ascii="Verdana" w:hAnsi="Verdana"/>
          <w:sz w:val="20"/>
          <w:szCs w:val="20"/>
        </w:rPr>
        <w:t>3.5.A2.24.</w:t>
      </w:r>
    </w:p>
    <w:p w14:paraId="777B6E19" w14:textId="77777777" w:rsidR="00BA41E3" w:rsidRPr="005A431F" w:rsidRDefault="00BA41E3" w:rsidP="00BA41E3">
      <w:pPr>
        <w:tabs>
          <w:tab w:val="left" w:pos="851"/>
        </w:tabs>
        <w:jc w:val="both"/>
        <w:rPr>
          <w:rFonts w:ascii="Verdana" w:hAnsi="Verdana" w:cs="Arial"/>
          <w:sz w:val="20"/>
          <w:szCs w:val="20"/>
        </w:rPr>
      </w:pPr>
      <w:r w:rsidRPr="16DD08BC">
        <w:rPr>
          <w:rFonts w:ascii="Verdana" w:hAnsi="Verdana" w:cs="Arial"/>
          <w:sz w:val="20"/>
          <w:szCs w:val="20"/>
        </w:rPr>
        <w:t>Además de las cláusulas descritas anteriormente, se pueden estipular las cláusulas siguientes:</w:t>
      </w:r>
    </w:p>
    <w:p w14:paraId="001578D9" w14:textId="33483723" w:rsidR="6999B6B8" w:rsidRDefault="6999B6B8" w:rsidP="16DD08BC">
      <w:pPr>
        <w:spacing w:after="0"/>
        <w:rPr>
          <w:rFonts w:ascii="Verdana" w:hAnsi="Verdana"/>
          <w:sz w:val="20"/>
          <w:szCs w:val="20"/>
        </w:rPr>
      </w:pPr>
      <w:r w:rsidRPr="16DD08BC">
        <w:rPr>
          <w:rFonts w:ascii="Verdana" w:hAnsi="Verdana"/>
          <w:sz w:val="20"/>
          <w:szCs w:val="20"/>
        </w:rPr>
        <w:t>3.5.A2.25.</w:t>
      </w:r>
    </w:p>
    <w:p w14:paraId="6AB2B0C9" w14:textId="77777777" w:rsidR="00BA41E3" w:rsidRPr="004D6A40" w:rsidRDefault="00BA41E3" w:rsidP="00BA41E3">
      <w:pPr>
        <w:tabs>
          <w:tab w:val="left" w:pos="851"/>
        </w:tabs>
        <w:jc w:val="both"/>
        <w:rPr>
          <w:rFonts w:ascii="Verdana" w:hAnsi="Verdana" w:cs="Arial"/>
          <w:sz w:val="20"/>
          <w:szCs w:val="20"/>
        </w:rPr>
      </w:pPr>
      <w:r w:rsidRPr="004D6A40">
        <w:rPr>
          <w:rFonts w:ascii="Verdana" w:hAnsi="Verdana" w:cs="Arial"/>
          <w:sz w:val="20"/>
          <w:szCs w:val="20"/>
        </w:rPr>
        <w:t>Cláusulas que afecten el plazo de cumplimiento de los instrumentos financieros derivados, incluyendo:</w:t>
      </w:r>
    </w:p>
    <w:p w14:paraId="64350E8C" w14:textId="16205A0A" w:rsidR="00BA41E3" w:rsidRDefault="00BA41E3" w:rsidP="00BA41E3">
      <w:pPr>
        <w:pStyle w:val="Prrafodelista"/>
        <w:numPr>
          <w:ilvl w:val="0"/>
          <w:numId w:val="28"/>
        </w:numPr>
        <w:tabs>
          <w:tab w:val="left" w:pos="567"/>
        </w:tabs>
        <w:ind w:left="567" w:hanging="567"/>
        <w:jc w:val="both"/>
        <w:rPr>
          <w:rFonts w:ascii="Verdana" w:hAnsi="Verdana" w:cs="Arial"/>
          <w:sz w:val="20"/>
          <w:szCs w:val="20"/>
        </w:rPr>
      </w:pPr>
      <w:r w:rsidRPr="008E4A2A">
        <w:rPr>
          <w:rFonts w:ascii="Verdana" w:hAnsi="Verdana" w:cs="Arial"/>
          <w:sz w:val="20"/>
          <w:szCs w:val="20"/>
        </w:rPr>
        <w:t>Los pagos o “</w:t>
      </w:r>
      <w:proofErr w:type="spellStart"/>
      <w:r w:rsidRPr="008E4A2A">
        <w:rPr>
          <w:rFonts w:ascii="Verdana" w:hAnsi="Verdana" w:cs="Arial"/>
          <w:sz w:val="20"/>
          <w:szCs w:val="20"/>
        </w:rPr>
        <w:t>neteos</w:t>
      </w:r>
      <w:proofErr w:type="spellEnd"/>
      <w:r w:rsidRPr="008E4A2A">
        <w:rPr>
          <w:rFonts w:ascii="Verdana" w:hAnsi="Verdana" w:cs="Arial"/>
          <w:sz w:val="20"/>
          <w:szCs w:val="20"/>
        </w:rPr>
        <w:t>” periódicos (</w:t>
      </w:r>
      <w:proofErr w:type="spellStart"/>
      <w:r w:rsidRPr="008E4A2A">
        <w:rPr>
          <w:rFonts w:ascii="Verdana" w:hAnsi="Verdana" w:cs="Arial"/>
          <w:i/>
          <w:iCs/>
          <w:sz w:val="20"/>
          <w:szCs w:val="20"/>
        </w:rPr>
        <w:t>Recouponing</w:t>
      </w:r>
      <w:proofErr w:type="spellEnd"/>
      <w:r w:rsidRPr="008E4A2A">
        <w:rPr>
          <w:rFonts w:ascii="Verdana" w:hAnsi="Verdana" w:cs="Arial"/>
          <w:sz w:val="20"/>
          <w:szCs w:val="20"/>
        </w:rPr>
        <w:t>): Se refiere a la cancelación antes del vencimiento, con una frecuencia previamente establecida, en fechas específicas acordadas o cuando se alcanza o supera un determinado monto, de los saldos a favor o en contra que resulten de la valoración de un instrumento financiero derivado. Esta cláusula debe constar dentro del texto del contrato marco</w:t>
      </w:r>
      <w:r w:rsidR="004F3284">
        <w:rPr>
          <w:rFonts w:ascii="Verdana" w:hAnsi="Verdana" w:cs="Arial"/>
          <w:sz w:val="20"/>
          <w:szCs w:val="20"/>
        </w:rPr>
        <w:t>.</w:t>
      </w:r>
      <w:r w:rsidRPr="008E4A2A">
        <w:rPr>
          <w:rFonts w:ascii="Verdana" w:hAnsi="Verdana" w:cs="Arial"/>
          <w:sz w:val="20"/>
          <w:szCs w:val="20"/>
        </w:rPr>
        <w:t xml:space="preserve"> </w:t>
      </w:r>
    </w:p>
    <w:p w14:paraId="627BF08B" w14:textId="77777777" w:rsidR="00BA41E3" w:rsidRPr="008E4A2A" w:rsidRDefault="00BA41E3" w:rsidP="00BA41E3">
      <w:pPr>
        <w:pStyle w:val="Prrafodelista"/>
        <w:tabs>
          <w:tab w:val="left" w:pos="567"/>
        </w:tabs>
        <w:ind w:left="567" w:hanging="567"/>
        <w:jc w:val="both"/>
        <w:rPr>
          <w:rFonts w:ascii="Verdana" w:hAnsi="Verdana" w:cs="Arial"/>
          <w:sz w:val="20"/>
          <w:szCs w:val="20"/>
        </w:rPr>
      </w:pPr>
    </w:p>
    <w:p w14:paraId="59673DE3" w14:textId="52B5B47A" w:rsidR="00BA41E3" w:rsidRPr="00B95032" w:rsidRDefault="00BA41E3" w:rsidP="00B95032">
      <w:pPr>
        <w:pStyle w:val="Prrafodelista"/>
        <w:numPr>
          <w:ilvl w:val="0"/>
          <w:numId w:val="28"/>
        </w:numPr>
        <w:tabs>
          <w:tab w:val="left" w:pos="567"/>
        </w:tabs>
        <w:ind w:left="567" w:hanging="567"/>
        <w:jc w:val="both"/>
        <w:rPr>
          <w:rFonts w:ascii="Verdana" w:hAnsi="Verdana" w:cs="Arial"/>
          <w:bCs/>
          <w:sz w:val="20"/>
          <w:szCs w:val="20"/>
        </w:rPr>
      </w:pPr>
      <w:r w:rsidRPr="008E4A2A">
        <w:rPr>
          <w:rFonts w:ascii="Verdana" w:hAnsi="Verdana" w:cs="Arial"/>
          <w:bCs/>
          <w:sz w:val="20"/>
          <w:szCs w:val="20"/>
        </w:rPr>
        <w:t xml:space="preserve">Acuerdos de ruptura: se refiere a la liquidación del instrumento financiero derivado antes de su vencimiento, en las fechas determinadas o determinables que acuerden las partes. Las partes pueden acordar la ruptura obligatoria, de mutuo acuerdo u opcional. El acuerdo de ruptura puede constar dentro del texto del contrato marco, el suplemento o las confirmaciones. </w:t>
      </w:r>
    </w:p>
    <w:p w14:paraId="7B2943F6" w14:textId="53CF6839" w:rsidR="7F1F0ACE" w:rsidRDefault="7F1F0ACE" w:rsidP="16DD08BC">
      <w:pPr>
        <w:spacing w:after="0"/>
        <w:rPr>
          <w:rFonts w:ascii="Verdana" w:hAnsi="Verdana"/>
          <w:sz w:val="20"/>
          <w:szCs w:val="20"/>
        </w:rPr>
      </w:pPr>
      <w:r w:rsidRPr="16DD08BC">
        <w:rPr>
          <w:rFonts w:ascii="Verdana" w:hAnsi="Verdana"/>
          <w:sz w:val="20"/>
          <w:szCs w:val="20"/>
        </w:rPr>
        <w:t>3.5.A2.26.</w:t>
      </w:r>
    </w:p>
    <w:p w14:paraId="5FCE8E9D" w14:textId="75F14ED2" w:rsidR="00BA41E3" w:rsidRPr="00404BDE" w:rsidRDefault="00BA41E3" w:rsidP="00BA41E3">
      <w:pPr>
        <w:tabs>
          <w:tab w:val="left" w:pos="851"/>
        </w:tabs>
        <w:jc w:val="both"/>
        <w:rPr>
          <w:rFonts w:ascii="Verdana" w:hAnsi="Verdana" w:cs="Arial"/>
          <w:sz w:val="20"/>
          <w:szCs w:val="20"/>
        </w:rPr>
      </w:pPr>
      <w:r w:rsidRPr="00404BDE">
        <w:rPr>
          <w:rFonts w:ascii="Verdana" w:hAnsi="Verdana" w:cs="Arial"/>
          <w:sz w:val="20"/>
          <w:szCs w:val="20"/>
        </w:rPr>
        <w:t>La compensación de operaciones con instrumentos financieros derivados</w:t>
      </w:r>
      <w:r w:rsidR="004F3284">
        <w:rPr>
          <w:rFonts w:ascii="Verdana" w:hAnsi="Verdana" w:cs="Arial"/>
          <w:sz w:val="20"/>
          <w:szCs w:val="20"/>
        </w:rPr>
        <w:t>.</w:t>
      </w:r>
    </w:p>
    <w:p w14:paraId="5A7BAB56" w14:textId="47DCD321" w:rsidR="00E01D1A" w:rsidRDefault="00E01D1A" w:rsidP="00E01D1A">
      <w:pPr>
        <w:spacing w:after="0"/>
        <w:rPr>
          <w:rFonts w:ascii="Verdana" w:hAnsi="Verdana"/>
          <w:sz w:val="20"/>
          <w:szCs w:val="20"/>
        </w:rPr>
      </w:pPr>
      <w:r w:rsidRPr="16DD08BC">
        <w:rPr>
          <w:rFonts w:ascii="Verdana" w:hAnsi="Verdana"/>
          <w:sz w:val="20"/>
          <w:szCs w:val="20"/>
        </w:rPr>
        <w:t>3.5.A2.2</w:t>
      </w:r>
      <w:r w:rsidR="00A70026">
        <w:rPr>
          <w:rFonts w:ascii="Verdana" w:hAnsi="Verdana"/>
          <w:sz w:val="20"/>
          <w:szCs w:val="20"/>
        </w:rPr>
        <w:t>7</w:t>
      </w:r>
      <w:r w:rsidRPr="16DD08BC">
        <w:rPr>
          <w:rFonts w:ascii="Verdana" w:hAnsi="Verdana"/>
          <w:sz w:val="20"/>
          <w:szCs w:val="20"/>
        </w:rPr>
        <w:t>.</w:t>
      </w:r>
    </w:p>
    <w:p w14:paraId="1242136D" w14:textId="7811E04F" w:rsidR="00BA41E3" w:rsidRPr="00E01D1A" w:rsidRDefault="00BA41E3" w:rsidP="00E01D1A">
      <w:pPr>
        <w:tabs>
          <w:tab w:val="left" w:pos="851"/>
        </w:tabs>
        <w:jc w:val="both"/>
        <w:rPr>
          <w:rFonts w:ascii="Verdana" w:hAnsi="Verdana" w:cs="Arial"/>
          <w:sz w:val="20"/>
          <w:szCs w:val="20"/>
        </w:rPr>
      </w:pPr>
      <w:r w:rsidRPr="00E01D1A">
        <w:rPr>
          <w:rFonts w:ascii="Verdana" w:hAnsi="Verdana" w:cs="Arial"/>
          <w:sz w:val="20"/>
          <w:szCs w:val="20"/>
        </w:rPr>
        <w:t>La posibilidad de compensar y liquidar en una CRCC una determinada operación con instrumentos financieros derivados negociada en el OTC o que sea no estandarizada, de común acuerdo especificando, cuando así lo convengan las partes, si la misma se realiza en forma diaria y al vencimiento o únicamente al vencimiento</w:t>
      </w:r>
      <w:r w:rsidR="004F3284">
        <w:rPr>
          <w:rFonts w:ascii="Verdana" w:hAnsi="Verdana" w:cs="Arial"/>
          <w:sz w:val="20"/>
          <w:szCs w:val="20"/>
        </w:rPr>
        <w:t>.</w:t>
      </w:r>
    </w:p>
    <w:p w14:paraId="456700D0" w14:textId="7552C7AB" w:rsidR="00E01D1A" w:rsidRDefault="00E01D1A" w:rsidP="00E01D1A">
      <w:pPr>
        <w:spacing w:after="0"/>
        <w:rPr>
          <w:rFonts w:ascii="Verdana" w:hAnsi="Verdana"/>
          <w:sz w:val="20"/>
          <w:szCs w:val="20"/>
        </w:rPr>
      </w:pPr>
      <w:r w:rsidRPr="16DD08BC">
        <w:rPr>
          <w:rFonts w:ascii="Verdana" w:hAnsi="Verdana"/>
          <w:sz w:val="20"/>
          <w:szCs w:val="20"/>
        </w:rPr>
        <w:t>3.5.A2.2</w:t>
      </w:r>
      <w:r w:rsidR="00A70026">
        <w:rPr>
          <w:rFonts w:ascii="Verdana" w:hAnsi="Verdana"/>
          <w:sz w:val="20"/>
          <w:szCs w:val="20"/>
        </w:rPr>
        <w:t>8</w:t>
      </w:r>
      <w:r w:rsidRPr="16DD08BC">
        <w:rPr>
          <w:rFonts w:ascii="Verdana" w:hAnsi="Verdana"/>
          <w:sz w:val="20"/>
          <w:szCs w:val="20"/>
        </w:rPr>
        <w:t>.</w:t>
      </w:r>
    </w:p>
    <w:p w14:paraId="1D896B3B" w14:textId="763BF5E6" w:rsidR="00BA41E3" w:rsidRPr="00E01D1A" w:rsidRDefault="00BA41E3" w:rsidP="00E01D1A">
      <w:pPr>
        <w:tabs>
          <w:tab w:val="left" w:pos="851"/>
        </w:tabs>
        <w:jc w:val="both"/>
        <w:rPr>
          <w:rFonts w:ascii="Verdana" w:hAnsi="Verdana" w:cs="Arial"/>
          <w:sz w:val="20"/>
          <w:szCs w:val="20"/>
        </w:rPr>
      </w:pPr>
      <w:r w:rsidRPr="00E01D1A">
        <w:rPr>
          <w:rFonts w:ascii="Verdana" w:hAnsi="Verdana" w:cs="Arial"/>
          <w:sz w:val="20"/>
          <w:szCs w:val="20"/>
        </w:rPr>
        <w:t>Mecanismos periódicos de revisión del portafolio de operaciones negociadas en el OTC con el fin de identificar y resolver discrepancias relacionadas con las condiciones esenciales de estas operaciones.</w:t>
      </w:r>
      <w:bookmarkStart w:id="12" w:name="_Toc3399968"/>
    </w:p>
    <w:p w14:paraId="222B95BC" w14:textId="7819A4D3" w:rsidR="00BA41E3" w:rsidRDefault="00BA41E3" w:rsidP="00734CF0">
      <w:pPr>
        <w:jc w:val="both"/>
        <w:rPr>
          <w:rFonts w:ascii="Verdana" w:hAnsi="Verdana" w:cs="Arial"/>
          <w:sz w:val="20"/>
          <w:szCs w:val="20"/>
        </w:rPr>
      </w:pPr>
      <w:r w:rsidRPr="16DD08BC">
        <w:rPr>
          <w:rFonts w:ascii="Verdana" w:hAnsi="Verdana"/>
          <w:b/>
          <w:bCs/>
          <w:sz w:val="20"/>
          <w:szCs w:val="20"/>
        </w:rPr>
        <w:t>Cláusulas específicas aplicables a los contratos marco sobre operaciones con instrumentos financieros derivados de crédito</w:t>
      </w:r>
      <w:bookmarkEnd w:id="12"/>
      <w:r w:rsidRPr="16DD08BC">
        <w:rPr>
          <w:rFonts w:ascii="Verdana" w:hAnsi="Verdana"/>
          <w:b/>
          <w:bCs/>
          <w:sz w:val="20"/>
          <w:szCs w:val="20"/>
        </w:rPr>
        <w:t xml:space="preserve"> </w:t>
      </w:r>
    </w:p>
    <w:p w14:paraId="710B31D3" w14:textId="66942EDD" w:rsidR="5C31A56B" w:rsidRDefault="5C31A56B" w:rsidP="16DD08BC">
      <w:pPr>
        <w:spacing w:after="0"/>
        <w:rPr>
          <w:rFonts w:ascii="Verdana" w:hAnsi="Verdana"/>
          <w:sz w:val="20"/>
          <w:szCs w:val="20"/>
        </w:rPr>
      </w:pPr>
      <w:r w:rsidRPr="16DD08BC">
        <w:rPr>
          <w:rFonts w:ascii="Verdana" w:hAnsi="Verdana"/>
          <w:sz w:val="20"/>
          <w:szCs w:val="20"/>
        </w:rPr>
        <w:t>3.5.A2.2</w:t>
      </w:r>
      <w:r w:rsidR="00A70026">
        <w:rPr>
          <w:rFonts w:ascii="Verdana" w:hAnsi="Verdana"/>
          <w:sz w:val="20"/>
          <w:szCs w:val="20"/>
        </w:rPr>
        <w:t>9</w:t>
      </w:r>
      <w:r w:rsidRPr="16DD08BC">
        <w:rPr>
          <w:rFonts w:ascii="Verdana" w:hAnsi="Verdana"/>
          <w:sz w:val="20"/>
          <w:szCs w:val="20"/>
        </w:rPr>
        <w:t>.</w:t>
      </w:r>
    </w:p>
    <w:p w14:paraId="3ADCE97C" w14:textId="77777777" w:rsidR="00BA41E3" w:rsidRPr="005859B7" w:rsidRDefault="00BA41E3" w:rsidP="00BA41E3">
      <w:pPr>
        <w:tabs>
          <w:tab w:val="left" w:pos="851"/>
        </w:tabs>
        <w:jc w:val="both"/>
        <w:rPr>
          <w:rFonts w:ascii="Verdana" w:hAnsi="Verdana" w:cs="Arial"/>
          <w:sz w:val="20"/>
          <w:szCs w:val="20"/>
        </w:rPr>
      </w:pPr>
      <w:r w:rsidRPr="005859B7">
        <w:rPr>
          <w:rFonts w:ascii="Verdana" w:hAnsi="Verdana" w:cs="Arial"/>
          <w:sz w:val="20"/>
          <w:szCs w:val="20"/>
        </w:rPr>
        <w:t xml:space="preserve">Se deben tener en cuenta las siguientes cláusulas: </w:t>
      </w:r>
    </w:p>
    <w:p w14:paraId="47F60859" w14:textId="77777777" w:rsidR="00BA41E3" w:rsidRDefault="00BA41E3" w:rsidP="00BA41E3">
      <w:pPr>
        <w:pStyle w:val="Prrafodelista"/>
        <w:numPr>
          <w:ilvl w:val="0"/>
          <w:numId w:val="16"/>
        </w:numPr>
        <w:tabs>
          <w:tab w:val="left" w:pos="567"/>
        </w:tabs>
        <w:ind w:left="567" w:hanging="567"/>
        <w:jc w:val="both"/>
        <w:rPr>
          <w:rFonts w:ascii="Verdana" w:hAnsi="Verdana" w:cs="Arial"/>
          <w:sz w:val="20"/>
          <w:szCs w:val="20"/>
        </w:rPr>
      </w:pPr>
      <w:r w:rsidRPr="00D0217A">
        <w:rPr>
          <w:rFonts w:ascii="Verdana" w:hAnsi="Verdana" w:cs="Arial"/>
          <w:sz w:val="20"/>
          <w:szCs w:val="20"/>
        </w:rPr>
        <w:t xml:space="preserve">Las partes deben establecer que el vendedor de protección no puede cancelarla unilateralmente o reducir el plazo de vencimiento de </w:t>
      </w:r>
      <w:proofErr w:type="gramStart"/>
      <w:r w:rsidRPr="00D0217A">
        <w:rPr>
          <w:rFonts w:ascii="Verdana" w:hAnsi="Verdana" w:cs="Arial"/>
          <w:sz w:val="20"/>
          <w:szCs w:val="20"/>
        </w:rPr>
        <w:t>la misma</w:t>
      </w:r>
      <w:proofErr w:type="gramEnd"/>
      <w:r w:rsidRPr="00D0217A">
        <w:rPr>
          <w:rFonts w:ascii="Verdana" w:hAnsi="Verdana" w:cs="Arial"/>
          <w:sz w:val="20"/>
          <w:szCs w:val="20"/>
        </w:rPr>
        <w:t xml:space="preserve">. En caso de que las partes establezcan la posibilidad de reducir el plazo de vencimiento del instrumento financiero derivado de crédito, deben señalar de manera expresa las condiciones para que se produzca dicha reducción y los montos correspondientes; </w:t>
      </w:r>
    </w:p>
    <w:p w14:paraId="44AB110E" w14:textId="77777777" w:rsidR="00BA41E3" w:rsidRPr="00D0217A" w:rsidRDefault="00BA41E3" w:rsidP="00BA41E3">
      <w:pPr>
        <w:pStyle w:val="Prrafodelista"/>
        <w:tabs>
          <w:tab w:val="left" w:pos="567"/>
        </w:tabs>
        <w:ind w:left="567"/>
        <w:jc w:val="both"/>
        <w:rPr>
          <w:rFonts w:ascii="Verdana" w:hAnsi="Verdana" w:cs="Arial"/>
          <w:sz w:val="20"/>
          <w:szCs w:val="20"/>
        </w:rPr>
      </w:pPr>
    </w:p>
    <w:p w14:paraId="71BA0DF1" w14:textId="3A26A681" w:rsidR="00BA41E3" w:rsidRDefault="00BA41E3" w:rsidP="00BA41E3">
      <w:pPr>
        <w:pStyle w:val="Prrafodelista"/>
        <w:numPr>
          <w:ilvl w:val="0"/>
          <w:numId w:val="16"/>
        </w:numPr>
        <w:tabs>
          <w:tab w:val="left" w:pos="567"/>
        </w:tabs>
        <w:ind w:left="567" w:hanging="567"/>
        <w:jc w:val="both"/>
        <w:rPr>
          <w:rFonts w:ascii="Verdana" w:hAnsi="Verdana" w:cs="Arial"/>
          <w:sz w:val="20"/>
          <w:szCs w:val="20"/>
        </w:rPr>
      </w:pPr>
      <w:r w:rsidRPr="00D0217A">
        <w:rPr>
          <w:rFonts w:ascii="Verdana" w:hAnsi="Verdana" w:cs="Arial"/>
          <w:sz w:val="20"/>
          <w:szCs w:val="20"/>
        </w:rPr>
        <w:t>Las partes deben establecer que el vendedor de protección no puede incrementar el costo efectivo del instrumento financiero derivado de crédito como resultado del deterioro de la calidad crediticia del emisor de la partida objeto de cobertura</w:t>
      </w:r>
      <w:r w:rsidR="004F3284">
        <w:rPr>
          <w:rFonts w:ascii="Verdana" w:hAnsi="Verdana" w:cs="Arial"/>
          <w:sz w:val="20"/>
          <w:szCs w:val="20"/>
        </w:rPr>
        <w:t>.</w:t>
      </w:r>
      <w:r w:rsidRPr="00D0217A">
        <w:rPr>
          <w:rFonts w:ascii="Verdana" w:hAnsi="Verdana" w:cs="Arial"/>
          <w:sz w:val="20"/>
          <w:szCs w:val="20"/>
        </w:rPr>
        <w:t xml:space="preserve">  </w:t>
      </w:r>
    </w:p>
    <w:p w14:paraId="09B5B7D0" w14:textId="77777777" w:rsidR="00BA41E3" w:rsidRPr="00D0217A" w:rsidRDefault="00BA41E3" w:rsidP="00BA41E3">
      <w:pPr>
        <w:pStyle w:val="Prrafodelista"/>
        <w:rPr>
          <w:rFonts w:ascii="Verdana" w:hAnsi="Verdana" w:cs="Arial"/>
          <w:sz w:val="20"/>
          <w:szCs w:val="20"/>
        </w:rPr>
      </w:pPr>
    </w:p>
    <w:p w14:paraId="4C92924E" w14:textId="372A62E9" w:rsidR="00BA41E3" w:rsidRPr="00A70026" w:rsidRDefault="00BA41E3" w:rsidP="00A70026">
      <w:pPr>
        <w:pStyle w:val="Prrafodelista"/>
        <w:numPr>
          <w:ilvl w:val="0"/>
          <w:numId w:val="16"/>
        </w:numPr>
        <w:tabs>
          <w:tab w:val="left" w:pos="567"/>
        </w:tabs>
        <w:ind w:left="567" w:hanging="567"/>
        <w:jc w:val="both"/>
        <w:rPr>
          <w:rFonts w:ascii="Verdana" w:hAnsi="Verdana" w:cs="Arial"/>
          <w:sz w:val="20"/>
          <w:szCs w:val="20"/>
        </w:rPr>
      </w:pPr>
      <w:r w:rsidRPr="00D0217A">
        <w:rPr>
          <w:rFonts w:ascii="Verdana" w:hAnsi="Verdana" w:cs="Arial"/>
          <w:sz w:val="20"/>
          <w:szCs w:val="20"/>
        </w:rPr>
        <w:t>Definir los criterios mínimos bajo los cuales se puede requerir llamado a margen.</w:t>
      </w:r>
    </w:p>
    <w:p w14:paraId="5CED7646" w14:textId="417F9BAA" w:rsidR="00BA41E3" w:rsidRPr="005859B7" w:rsidRDefault="00BA41E3" w:rsidP="00734CF0">
      <w:pPr>
        <w:rPr>
          <w:rFonts w:ascii="Verdana" w:hAnsi="Verdana" w:cs="Arial"/>
          <w:sz w:val="20"/>
          <w:szCs w:val="20"/>
        </w:rPr>
      </w:pPr>
      <w:r w:rsidRPr="16DD08BC">
        <w:rPr>
          <w:rFonts w:ascii="Verdana" w:hAnsi="Verdana"/>
          <w:b/>
          <w:bCs/>
          <w:sz w:val="20"/>
          <w:szCs w:val="20"/>
        </w:rPr>
        <w:t>Acuerdo de intercambio de garantías</w:t>
      </w:r>
    </w:p>
    <w:p w14:paraId="171119B0" w14:textId="7E876250" w:rsidR="2846ABB8" w:rsidRDefault="2846ABB8" w:rsidP="16DD08BC">
      <w:pPr>
        <w:spacing w:after="0"/>
        <w:rPr>
          <w:rFonts w:ascii="Verdana" w:hAnsi="Verdana"/>
          <w:sz w:val="20"/>
          <w:szCs w:val="20"/>
        </w:rPr>
      </w:pPr>
      <w:r w:rsidRPr="16DD08BC">
        <w:rPr>
          <w:rFonts w:ascii="Verdana" w:hAnsi="Verdana"/>
          <w:sz w:val="20"/>
          <w:szCs w:val="20"/>
        </w:rPr>
        <w:t>3.5.A2.</w:t>
      </w:r>
      <w:r w:rsidR="00A70026">
        <w:rPr>
          <w:rFonts w:ascii="Verdana" w:hAnsi="Verdana"/>
          <w:sz w:val="20"/>
          <w:szCs w:val="20"/>
        </w:rPr>
        <w:t>30</w:t>
      </w:r>
      <w:r w:rsidRPr="16DD08BC">
        <w:rPr>
          <w:rFonts w:ascii="Verdana" w:hAnsi="Verdana"/>
          <w:sz w:val="20"/>
          <w:szCs w:val="20"/>
        </w:rPr>
        <w:t>.</w:t>
      </w:r>
    </w:p>
    <w:p w14:paraId="3BA9571E" w14:textId="77777777" w:rsidR="00BA41E3" w:rsidRDefault="00BA41E3" w:rsidP="00BA41E3">
      <w:pPr>
        <w:tabs>
          <w:tab w:val="left" w:pos="851"/>
        </w:tabs>
        <w:jc w:val="both"/>
        <w:rPr>
          <w:rFonts w:ascii="Verdana" w:hAnsi="Verdana" w:cs="Arial"/>
          <w:sz w:val="20"/>
          <w:szCs w:val="20"/>
        </w:rPr>
      </w:pPr>
      <w:r w:rsidRPr="005859B7">
        <w:rPr>
          <w:rFonts w:ascii="Verdana" w:hAnsi="Verdana" w:cs="Arial"/>
          <w:sz w:val="20"/>
          <w:szCs w:val="20"/>
        </w:rPr>
        <w:t xml:space="preserve">Las partes pueden establecer acuerdos de intercambio de garantías, los cuales deben incorporar todas las disposiciones que regulen la entrega, pago, constitución, y/o intercambio de garantías y llamados al margen entre las partes, incluyendo los procedimientos establecidos para la identificación, seguimiento y resolución de disputas respecto de la valoración y el intercambio de las garantías. Estos acuerdos pueden constar dentro del texto del contrato marco, o estar incorporados como anexos. </w:t>
      </w:r>
    </w:p>
    <w:sectPr w:rsidR="00BA41E3"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ADC4B" w14:textId="77777777" w:rsidR="001873DA" w:rsidRDefault="001873DA" w:rsidP="00057BF6">
      <w:pPr>
        <w:spacing w:after="0" w:line="240" w:lineRule="auto"/>
      </w:pPr>
      <w:r>
        <w:separator/>
      </w:r>
    </w:p>
  </w:endnote>
  <w:endnote w:type="continuationSeparator" w:id="0">
    <w:p w14:paraId="4C3D0F4E" w14:textId="77777777" w:rsidR="001873DA" w:rsidRDefault="001873DA" w:rsidP="00057BF6">
      <w:pPr>
        <w:spacing w:after="0" w:line="240" w:lineRule="auto"/>
      </w:pPr>
      <w:r>
        <w:continuationSeparator/>
      </w:r>
    </w:p>
  </w:endnote>
  <w:endnote w:type="continuationNotice" w:id="1">
    <w:p w14:paraId="3929F143" w14:textId="77777777" w:rsidR="001873DA" w:rsidRDefault="001873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82F7" w14:textId="77777777" w:rsidR="001873DA" w:rsidRDefault="001873DA" w:rsidP="00057BF6">
      <w:pPr>
        <w:spacing w:after="0" w:line="240" w:lineRule="auto"/>
      </w:pPr>
      <w:r>
        <w:separator/>
      </w:r>
    </w:p>
  </w:footnote>
  <w:footnote w:type="continuationSeparator" w:id="0">
    <w:p w14:paraId="2D5B8F44" w14:textId="77777777" w:rsidR="001873DA" w:rsidRDefault="001873DA" w:rsidP="00057BF6">
      <w:pPr>
        <w:spacing w:after="0" w:line="240" w:lineRule="auto"/>
      </w:pPr>
      <w:r>
        <w:continuationSeparator/>
      </w:r>
    </w:p>
  </w:footnote>
  <w:footnote w:type="continuationNotice" w:id="1">
    <w:p w14:paraId="404AFF05" w14:textId="77777777" w:rsidR="001873DA" w:rsidRDefault="001873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650D1"/>
    <w:multiLevelType w:val="hybridMultilevel"/>
    <w:tmpl w:val="2AC64D6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5B1ACA"/>
    <w:multiLevelType w:val="hybridMultilevel"/>
    <w:tmpl w:val="70306196"/>
    <w:lvl w:ilvl="0" w:tplc="240A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5CB6F89"/>
    <w:multiLevelType w:val="hybridMultilevel"/>
    <w:tmpl w:val="75EEB82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810CEB"/>
    <w:multiLevelType w:val="hybridMultilevel"/>
    <w:tmpl w:val="02AE3738"/>
    <w:lvl w:ilvl="0" w:tplc="240A001B">
      <w:start w:val="1"/>
      <w:numFmt w:val="lowerRoman"/>
      <w:lvlText w:val="%1."/>
      <w:lvlJc w:val="righ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08FF47E1"/>
    <w:multiLevelType w:val="hybridMultilevel"/>
    <w:tmpl w:val="AEA2EB3A"/>
    <w:lvl w:ilvl="0" w:tplc="240A001B">
      <w:start w:val="1"/>
      <w:numFmt w:val="lowerRoman"/>
      <w:lvlText w:val="%1."/>
      <w:lvlJc w:val="righ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6" w15:restartNumberingAfterBreak="0">
    <w:nsid w:val="0C1A624D"/>
    <w:multiLevelType w:val="hybridMultilevel"/>
    <w:tmpl w:val="9ACAA034"/>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11AB10FE"/>
    <w:multiLevelType w:val="hybridMultilevel"/>
    <w:tmpl w:val="10224F6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99A6155"/>
    <w:multiLevelType w:val="hybridMultilevel"/>
    <w:tmpl w:val="7EBEAD0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15:restartNumberingAfterBreak="0">
    <w:nsid w:val="215C0BB5"/>
    <w:multiLevelType w:val="hybridMultilevel"/>
    <w:tmpl w:val="8898A3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24694C"/>
    <w:multiLevelType w:val="hybridMultilevel"/>
    <w:tmpl w:val="EDEACE22"/>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233852A0"/>
    <w:multiLevelType w:val="hybridMultilevel"/>
    <w:tmpl w:val="1A660FC4"/>
    <w:lvl w:ilvl="0" w:tplc="240A0019">
      <w:start w:val="1"/>
      <w:numFmt w:val="lowerLetter"/>
      <w:lvlText w:val="%1."/>
      <w:lvlJc w:val="lef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13" w15:restartNumberingAfterBreak="0">
    <w:nsid w:val="23BA5570"/>
    <w:multiLevelType w:val="hybridMultilevel"/>
    <w:tmpl w:val="712C3118"/>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lvl>
    <w:lvl w:ilvl="2" w:tplc="240A0019">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BA0DDA"/>
    <w:multiLevelType w:val="hybridMultilevel"/>
    <w:tmpl w:val="3336108E"/>
    <w:lvl w:ilvl="0" w:tplc="240A0019">
      <w:start w:val="1"/>
      <w:numFmt w:val="lowerLetter"/>
      <w:lvlText w:val="%1."/>
      <w:lvlJc w:val="lef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15" w15:restartNumberingAfterBreak="0">
    <w:nsid w:val="315D7D2C"/>
    <w:multiLevelType w:val="hybridMultilevel"/>
    <w:tmpl w:val="CE727B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057911"/>
    <w:multiLevelType w:val="hybridMultilevel"/>
    <w:tmpl w:val="9104CE2A"/>
    <w:lvl w:ilvl="0" w:tplc="240A0019">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33587C74"/>
    <w:multiLevelType w:val="hybridMultilevel"/>
    <w:tmpl w:val="9968DAB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B8C1F08"/>
    <w:multiLevelType w:val="hybridMultilevel"/>
    <w:tmpl w:val="19A638DC"/>
    <w:lvl w:ilvl="0" w:tplc="FFFFFFFF">
      <w:start w:val="1"/>
      <w:numFmt w:val="lowerLetter"/>
      <w:lvlText w:val="%1."/>
      <w:lvlJc w:val="left"/>
      <w:pPr>
        <w:ind w:left="720" w:hanging="360"/>
      </w:pPr>
    </w:lvl>
    <w:lvl w:ilvl="1" w:tplc="240A0019">
      <w:start w:val="1"/>
      <w:numFmt w:val="lowerLetter"/>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902972"/>
    <w:multiLevelType w:val="hybridMultilevel"/>
    <w:tmpl w:val="E09C7306"/>
    <w:lvl w:ilvl="0" w:tplc="240A0019">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4DC96E8B"/>
    <w:multiLevelType w:val="hybridMultilevel"/>
    <w:tmpl w:val="4AA6559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E0C5B7C"/>
    <w:multiLevelType w:val="hybridMultilevel"/>
    <w:tmpl w:val="490810E2"/>
    <w:lvl w:ilvl="0" w:tplc="957C6118">
      <w:start w:val="1"/>
      <w:numFmt w:val="decimal"/>
      <w:lvlText w:val="%1."/>
      <w:lvlJc w:val="left"/>
      <w:pPr>
        <w:ind w:left="720" w:hanging="360"/>
      </w:pPr>
      <w:rPr>
        <w:rFonts w:cs="Times New Roman" w:hint="default"/>
      </w:rPr>
    </w:lvl>
    <w:lvl w:ilvl="1" w:tplc="240A0019">
      <w:start w:val="1"/>
      <w:numFmt w:val="lowerLetter"/>
      <w:lvlText w:val="%2."/>
      <w:lvlJc w:val="left"/>
      <w:pPr>
        <w:ind w:left="1440" w:hanging="360"/>
      </w:pPr>
    </w:lvl>
    <w:lvl w:ilvl="2" w:tplc="FD0C485A">
      <w:start w:val="1"/>
      <w:numFmt w:val="lowerLetter"/>
      <w:lvlText w:val="%3)"/>
      <w:lvlJc w:val="left"/>
      <w:pPr>
        <w:ind w:left="2400" w:hanging="4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E1476D"/>
    <w:multiLevelType w:val="hybridMultilevel"/>
    <w:tmpl w:val="CD302A9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4F7FB3"/>
    <w:multiLevelType w:val="hybridMultilevel"/>
    <w:tmpl w:val="5A525068"/>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0C23E3"/>
    <w:multiLevelType w:val="hybridMultilevel"/>
    <w:tmpl w:val="C824B43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7EC3E19"/>
    <w:multiLevelType w:val="hybridMultilevel"/>
    <w:tmpl w:val="1EF4EFFA"/>
    <w:lvl w:ilvl="0" w:tplc="240A0019">
      <w:start w:val="1"/>
      <w:numFmt w:val="lowerLetter"/>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26" w15:restartNumberingAfterBreak="0">
    <w:nsid w:val="5AEC6A7C"/>
    <w:multiLevelType w:val="hybridMultilevel"/>
    <w:tmpl w:val="0F22CE5E"/>
    <w:lvl w:ilvl="0" w:tplc="240A0019">
      <w:start w:val="1"/>
      <w:numFmt w:val="lowerLetter"/>
      <w:lvlText w:val="%1."/>
      <w:lvlJc w:val="left"/>
      <w:pPr>
        <w:ind w:left="724" w:hanging="360"/>
      </w:p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27" w15:restartNumberingAfterBreak="0">
    <w:nsid w:val="5B466401"/>
    <w:multiLevelType w:val="hybridMultilevel"/>
    <w:tmpl w:val="6F56A5E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BBD1A7D"/>
    <w:multiLevelType w:val="hybridMultilevel"/>
    <w:tmpl w:val="B28EA1F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C0C7096"/>
    <w:multiLevelType w:val="hybridMultilevel"/>
    <w:tmpl w:val="12A0DF0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5B23B98"/>
    <w:multiLevelType w:val="hybridMultilevel"/>
    <w:tmpl w:val="044E8178"/>
    <w:lvl w:ilvl="0" w:tplc="240A0019">
      <w:start w:val="1"/>
      <w:numFmt w:val="lowerLetter"/>
      <w:lvlText w:val="%1."/>
      <w:lvlJc w:val="left"/>
      <w:pPr>
        <w:ind w:left="732" w:hanging="360"/>
      </w:pPr>
    </w:lvl>
    <w:lvl w:ilvl="1" w:tplc="FFFFFFFF" w:tentative="1">
      <w:start w:val="1"/>
      <w:numFmt w:val="lowerLetter"/>
      <w:lvlText w:val="%2."/>
      <w:lvlJc w:val="left"/>
      <w:pPr>
        <w:ind w:left="1452" w:hanging="360"/>
      </w:pPr>
    </w:lvl>
    <w:lvl w:ilvl="2" w:tplc="FFFFFFFF" w:tentative="1">
      <w:start w:val="1"/>
      <w:numFmt w:val="lowerRoman"/>
      <w:lvlText w:val="%3."/>
      <w:lvlJc w:val="right"/>
      <w:pPr>
        <w:ind w:left="2172" w:hanging="180"/>
      </w:pPr>
    </w:lvl>
    <w:lvl w:ilvl="3" w:tplc="FFFFFFFF" w:tentative="1">
      <w:start w:val="1"/>
      <w:numFmt w:val="decimal"/>
      <w:lvlText w:val="%4."/>
      <w:lvlJc w:val="left"/>
      <w:pPr>
        <w:ind w:left="2892" w:hanging="360"/>
      </w:pPr>
    </w:lvl>
    <w:lvl w:ilvl="4" w:tplc="FFFFFFFF" w:tentative="1">
      <w:start w:val="1"/>
      <w:numFmt w:val="lowerLetter"/>
      <w:lvlText w:val="%5."/>
      <w:lvlJc w:val="left"/>
      <w:pPr>
        <w:ind w:left="3612" w:hanging="360"/>
      </w:pPr>
    </w:lvl>
    <w:lvl w:ilvl="5" w:tplc="FFFFFFFF" w:tentative="1">
      <w:start w:val="1"/>
      <w:numFmt w:val="lowerRoman"/>
      <w:lvlText w:val="%6."/>
      <w:lvlJc w:val="right"/>
      <w:pPr>
        <w:ind w:left="4332" w:hanging="180"/>
      </w:pPr>
    </w:lvl>
    <w:lvl w:ilvl="6" w:tplc="FFFFFFFF" w:tentative="1">
      <w:start w:val="1"/>
      <w:numFmt w:val="decimal"/>
      <w:lvlText w:val="%7."/>
      <w:lvlJc w:val="left"/>
      <w:pPr>
        <w:ind w:left="5052" w:hanging="360"/>
      </w:pPr>
    </w:lvl>
    <w:lvl w:ilvl="7" w:tplc="FFFFFFFF" w:tentative="1">
      <w:start w:val="1"/>
      <w:numFmt w:val="lowerLetter"/>
      <w:lvlText w:val="%8."/>
      <w:lvlJc w:val="left"/>
      <w:pPr>
        <w:ind w:left="5772" w:hanging="360"/>
      </w:pPr>
    </w:lvl>
    <w:lvl w:ilvl="8" w:tplc="FFFFFFFF" w:tentative="1">
      <w:start w:val="1"/>
      <w:numFmt w:val="lowerRoman"/>
      <w:lvlText w:val="%9."/>
      <w:lvlJc w:val="right"/>
      <w:pPr>
        <w:ind w:left="6492" w:hanging="180"/>
      </w:pPr>
    </w:lvl>
  </w:abstractNum>
  <w:abstractNum w:abstractNumId="31" w15:restartNumberingAfterBreak="0">
    <w:nsid w:val="66A648C9"/>
    <w:multiLevelType w:val="hybridMultilevel"/>
    <w:tmpl w:val="07886F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D372CFA"/>
    <w:multiLevelType w:val="hybridMultilevel"/>
    <w:tmpl w:val="504CD2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D85585C"/>
    <w:multiLevelType w:val="hybridMultilevel"/>
    <w:tmpl w:val="F070BAF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22E2C7D"/>
    <w:multiLevelType w:val="hybridMultilevel"/>
    <w:tmpl w:val="E8D6DD2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BFA7AB0"/>
    <w:multiLevelType w:val="hybridMultilevel"/>
    <w:tmpl w:val="F9E8EC82"/>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D4E7602"/>
    <w:multiLevelType w:val="hybridMultilevel"/>
    <w:tmpl w:val="0792B1B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0435568">
    <w:abstractNumId w:val="35"/>
  </w:num>
  <w:num w:numId="2" w16cid:durableId="1362513633">
    <w:abstractNumId w:val="0"/>
  </w:num>
  <w:num w:numId="3" w16cid:durableId="1606840156">
    <w:abstractNumId w:val="27"/>
  </w:num>
  <w:num w:numId="4" w16cid:durableId="1975982689">
    <w:abstractNumId w:val="9"/>
  </w:num>
  <w:num w:numId="5" w16cid:durableId="396899428">
    <w:abstractNumId w:val="21"/>
  </w:num>
  <w:num w:numId="6" w16cid:durableId="134568074">
    <w:abstractNumId w:val="37"/>
  </w:num>
  <w:num w:numId="7" w16cid:durableId="2032756227">
    <w:abstractNumId w:val="29"/>
  </w:num>
  <w:num w:numId="8" w16cid:durableId="616835162">
    <w:abstractNumId w:val="17"/>
  </w:num>
  <w:num w:numId="9" w16cid:durableId="1240868266">
    <w:abstractNumId w:val="15"/>
  </w:num>
  <w:num w:numId="10" w16cid:durableId="1638533209">
    <w:abstractNumId w:val="1"/>
  </w:num>
  <w:num w:numId="11" w16cid:durableId="893127654">
    <w:abstractNumId w:val="10"/>
  </w:num>
  <w:num w:numId="12" w16cid:durableId="1059476244">
    <w:abstractNumId w:val="34"/>
  </w:num>
  <w:num w:numId="13" w16cid:durableId="405762868">
    <w:abstractNumId w:val="24"/>
  </w:num>
  <w:num w:numId="14" w16cid:durableId="45417500">
    <w:abstractNumId w:val="22"/>
  </w:num>
  <w:num w:numId="15" w16cid:durableId="1531449487">
    <w:abstractNumId w:val="32"/>
  </w:num>
  <w:num w:numId="16" w16cid:durableId="2904502">
    <w:abstractNumId w:val="3"/>
  </w:num>
  <w:num w:numId="17" w16cid:durableId="1478105768">
    <w:abstractNumId w:val="31"/>
  </w:num>
  <w:num w:numId="18" w16cid:durableId="292903972">
    <w:abstractNumId w:val="8"/>
  </w:num>
  <w:num w:numId="19" w16cid:durableId="1220825755">
    <w:abstractNumId w:val="28"/>
  </w:num>
  <w:num w:numId="20" w16cid:durableId="1898709257">
    <w:abstractNumId w:val="33"/>
  </w:num>
  <w:num w:numId="21" w16cid:durableId="225260193">
    <w:abstractNumId w:val="7"/>
  </w:num>
  <w:num w:numId="22" w16cid:durableId="1482383978">
    <w:abstractNumId w:val="25"/>
  </w:num>
  <w:num w:numId="23" w16cid:durableId="1142238237">
    <w:abstractNumId w:val="5"/>
  </w:num>
  <w:num w:numId="24" w16cid:durableId="1824852897">
    <w:abstractNumId w:val="6"/>
  </w:num>
  <w:num w:numId="25" w16cid:durableId="1592739532">
    <w:abstractNumId w:val="20"/>
  </w:num>
  <w:num w:numId="26" w16cid:durableId="1848666162">
    <w:abstractNumId w:val="12"/>
  </w:num>
  <w:num w:numId="27" w16cid:durableId="938222913">
    <w:abstractNumId w:val="19"/>
  </w:num>
  <w:num w:numId="28" w16cid:durableId="1387994626">
    <w:abstractNumId w:val="11"/>
  </w:num>
  <w:num w:numId="29" w16cid:durableId="940332545">
    <w:abstractNumId w:val="23"/>
  </w:num>
  <w:num w:numId="30" w16cid:durableId="1879468937">
    <w:abstractNumId w:val="2"/>
  </w:num>
  <w:num w:numId="31" w16cid:durableId="2054385072">
    <w:abstractNumId w:val="13"/>
  </w:num>
  <w:num w:numId="32" w16cid:durableId="1473207362">
    <w:abstractNumId w:val="26"/>
  </w:num>
  <w:num w:numId="33" w16cid:durableId="108665053">
    <w:abstractNumId w:val="36"/>
  </w:num>
  <w:num w:numId="34" w16cid:durableId="1440104872">
    <w:abstractNumId w:val="4"/>
  </w:num>
  <w:num w:numId="35" w16cid:durableId="1440107156">
    <w:abstractNumId w:val="16"/>
  </w:num>
  <w:num w:numId="36" w16cid:durableId="1038550976">
    <w:abstractNumId w:val="18"/>
  </w:num>
  <w:num w:numId="37" w16cid:durableId="385642590">
    <w:abstractNumId w:val="14"/>
  </w:num>
  <w:num w:numId="38" w16cid:durableId="1738670166">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107AE"/>
    <w:rsid w:val="0002536B"/>
    <w:rsid w:val="00034248"/>
    <w:rsid w:val="00057BF6"/>
    <w:rsid w:val="0006736C"/>
    <w:rsid w:val="000910D7"/>
    <w:rsid w:val="000D6D46"/>
    <w:rsid w:val="000E0C2D"/>
    <w:rsid w:val="000E35C8"/>
    <w:rsid w:val="00122960"/>
    <w:rsid w:val="00123797"/>
    <w:rsid w:val="00143EFD"/>
    <w:rsid w:val="001873DA"/>
    <w:rsid w:val="001B1F21"/>
    <w:rsid w:val="001B5187"/>
    <w:rsid w:val="001F4329"/>
    <w:rsid w:val="001F5F7A"/>
    <w:rsid w:val="0021666A"/>
    <w:rsid w:val="002562C7"/>
    <w:rsid w:val="002B4F4A"/>
    <w:rsid w:val="002B641A"/>
    <w:rsid w:val="002F5CF4"/>
    <w:rsid w:val="00311ADB"/>
    <w:rsid w:val="00316E8B"/>
    <w:rsid w:val="003300C0"/>
    <w:rsid w:val="0034783C"/>
    <w:rsid w:val="0036407F"/>
    <w:rsid w:val="00376B82"/>
    <w:rsid w:val="003A5CFE"/>
    <w:rsid w:val="003C558F"/>
    <w:rsid w:val="0040498E"/>
    <w:rsid w:val="00405030"/>
    <w:rsid w:val="00406D2B"/>
    <w:rsid w:val="0043223D"/>
    <w:rsid w:val="004362B9"/>
    <w:rsid w:val="004430F2"/>
    <w:rsid w:val="00460800"/>
    <w:rsid w:val="00463C11"/>
    <w:rsid w:val="0048062C"/>
    <w:rsid w:val="00487BF8"/>
    <w:rsid w:val="004C54E8"/>
    <w:rsid w:val="004E5D6E"/>
    <w:rsid w:val="004F3284"/>
    <w:rsid w:val="005111DF"/>
    <w:rsid w:val="00523EE9"/>
    <w:rsid w:val="00544A86"/>
    <w:rsid w:val="0055785C"/>
    <w:rsid w:val="00573EFD"/>
    <w:rsid w:val="0058017A"/>
    <w:rsid w:val="00596B88"/>
    <w:rsid w:val="0061423F"/>
    <w:rsid w:val="006201FD"/>
    <w:rsid w:val="006345C1"/>
    <w:rsid w:val="00683570"/>
    <w:rsid w:val="006B3076"/>
    <w:rsid w:val="007141A3"/>
    <w:rsid w:val="00721D02"/>
    <w:rsid w:val="00734CF0"/>
    <w:rsid w:val="00744BF2"/>
    <w:rsid w:val="00751327"/>
    <w:rsid w:val="007A302E"/>
    <w:rsid w:val="007A4231"/>
    <w:rsid w:val="007D201C"/>
    <w:rsid w:val="007E7BF6"/>
    <w:rsid w:val="008178FC"/>
    <w:rsid w:val="0082329A"/>
    <w:rsid w:val="008537E3"/>
    <w:rsid w:val="008A3323"/>
    <w:rsid w:val="008B0D19"/>
    <w:rsid w:val="008F5444"/>
    <w:rsid w:val="009154AD"/>
    <w:rsid w:val="00956EC8"/>
    <w:rsid w:val="009571FD"/>
    <w:rsid w:val="009712EF"/>
    <w:rsid w:val="009A2823"/>
    <w:rsid w:val="009B1635"/>
    <w:rsid w:val="009B17BE"/>
    <w:rsid w:val="009B6D85"/>
    <w:rsid w:val="009D6127"/>
    <w:rsid w:val="00A04148"/>
    <w:rsid w:val="00A41E5E"/>
    <w:rsid w:val="00A70026"/>
    <w:rsid w:val="00A72DA8"/>
    <w:rsid w:val="00A9232C"/>
    <w:rsid w:val="00AE7F6B"/>
    <w:rsid w:val="00B3441A"/>
    <w:rsid w:val="00B907C5"/>
    <w:rsid w:val="00B95032"/>
    <w:rsid w:val="00BA41E3"/>
    <w:rsid w:val="00C110E5"/>
    <w:rsid w:val="00C2291A"/>
    <w:rsid w:val="00C377BB"/>
    <w:rsid w:val="00CA77B2"/>
    <w:rsid w:val="00CC3647"/>
    <w:rsid w:val="00CC6142"/>
    <w:rsid w:val="00D050A2"/>
    <w:rsid w:val="00D27EED"/>
    <w:rsid w:val="00D97B8E"/>
    <w:rsid w:val="00DA0C0E"/>
    <w:rsid w:val="00DA73D2"/>
    <w:rsid w:val="00DB3370"/>
    <w:rsid w:val="00DC6ECE"/>
    <w:rsid w:val="00E01D1A"/>
    <w:rsid w:val="00E03CCC"/>
    <w:rsid w:val="00E34111"/>
    <w:rsid w:val="00E36D12"/>
    <w:rsid w:val="00E441C5"/>
    <w:rsid w:val="00E565FE"/>
    <w:rsid w:val="00E702FB"/>
    <w:rsid w:val="00F72D05"/>
    <w:rsid w:val="00F9067D"/>
    <w:rsid w:val="00FC44A5"/>
    <w:rsid w:val="00FD54F6"/>
    <w:rsid w:val="039A88CC"/>
    <w:rsid w:val="066B0C6B"/>
    <w:rsid w:val="067079BB"/>
    <w:rsid w:val="0781BB02"/>
    <w:rsid w:val="14462C2F"/>
    <w:rsid w:val="16DD08BC"/>
    <w:rsid w:val="17869B12"/>
    <w:rsid w:val="22BC23CA"/>
    <w:rsid w:val="2438AA1D"/>
    <w:rsid w:val="2846ABB8"/>
    <w:rsid w:val="2AE72D96"/>
    <w:rsid w:val="2B1C72B3"/>
    <w:rsid w:val="2B3F2C65"/>
    <w:rsid w:val="2D092D33"/>
    <w:rsid w:val="2E19092A"/>
    <w:rsid w:val="338E6813"/>
    <w:rsid w:val="33FAD40B"/>
    <w:rsid w:val="393B711D"/>
    <w:rsid w:val="3DCE649F"/>
    <w:rsid w:val="4319EACF"/>
    <w:rsid w:val="47DF10D9"/>
    <w:rsid w:val="4A5E081D"/>
    <w:rsid w:val="57A00CAC"/>
    <w:rsid w:val="5C31A56B"/>
    <w:rsid w:val="628E0BC3"/>
    <w:rsid w:val="63B0EF75"/>
    <w:rsid w:val="66F42B44"/>
    <w:rsid w:val="68AD4DD4"/>
    <w:rsid w:val="698A97A7"/>
    <w:rsid w:val="6999B6B8"/>
    <w:rsid w:val="69AEEE9B"/>
    <w:rsid w:val="6B174AF3"/>
    <w:rsid w:val="6E056C30"/>
    <w:rsid w:val="74848DA0"/>
    <w:rsid w:val="756F8A79"/>
    <w:rsid w:val="7688AF8D"/>
    <w:rsid w:val="7BB9E455"/>
    <w:rsid w:val="7D6C6D81"/>
    <w:rsid w:val="7F1F0ACE"/>
    <w:rsid w:val="7FBB31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F6791D53-8F6F-4394-8EE8-03345F7F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rsid w:val="009B6D85"/>
    <w:rPr>
      <w:rFonts w:eastAsiaTheme="majorEastAsia" w:cstheme="majorBidi"/>
      <w:i/>
      <w:iCs/>
      <w:color w:val="595959" w:themeColor="text1" w:themeTint="A6"/>
    </w:rPr>
  </w:style>
  <w:style w:type="character" w:customStyle="1" w:styleId="Ttulo7Car">
    <w:name w:val="Título 7 Car"/>
    <w:basedOn w:val="Fuentedeprrafopredeter"/>
    <w:link w:val="Ttulo7"/>
    <w:rsid w:val="009B6D85"/>
    <w:rPr>
      <w:rFonts w:eastAsiaTheme="majorEastAsia" w:cstheme="majorBidi"/>
      <w:color w:val="595959" w:themeColor="text1" w:themeTint="A6"/>
    </w:rPr>
  </w:style>
  <w:style w:type="character" w:customStyle="1" w:styleId="Ttulo8Car">
    <w:name w:val="Título 8 Car"/>
    <w:basedOn w:val="Fuentedeprrafopredeter"/>
    <w:link w:val="Ttulo8"/>
    <w:rsid w:val="009B6D85"/>
    <w:rPr>
      <w:rFonts w:eastAsiaTheme="majorEastAsia" w:cstheme="majorBidi"/>
      <w:i/>
      <w:iCs/>
      <w:color w:val="272727" w:themeColor="text1" w:themeTint="D8"/>
    </w:rPr>
  </w:style>
  <w:style w:type="character" w:customStyle="1" w:styleId="Ttulo9Car">
    <w:name w:val="Título 9 Car"/>
    <w:basedOn w:val="Fuentedeprrafopredeter"/>
    <w:link w:val="Ttulo9"/>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Estilgt">
    <w:name w:val="Estilgt"/>
    <w:basedOn w:val="Normal"/>
    <w:rsid w:val="00316E8B"/>
    <w:pPr>
      <w:widowControl w:val="0"/>
      <w:suppressLineNumbers/>
      <w:suppressAutoHyphens/>
      <w:spacing w:after="0" w:line="240" w:lineRule="auto"/>
      <w:jc w:val="both"/>
    </w:pPr>
    <w:rPr>
      <w:rFonts w:ascii="Arial" w:eastAsia="Times New Roman" w:hAnsi="Arial" w:cs="Times New Roman"/>
      <w:b/>
      <w:caps/>
      <w:spacing w:val="20"/>
      <w:kern w:val="0"/>
      <w:sz w:val="16"/>
      <w:szCs w:val="20"/>
      <w:lang w:val="es-ES_tradnl" w:eastAsia="es-CO"/>
      <w14:ligatures w14:val="none"/>
    </w:rPr>
  </w:style>
  <w:style w:type="paragraph" w:styleId="TDC1">
    <w:name w:val="toc 1"/>
    <w:basedOn w:val="Textoindependiente"/>
    <w:next w:val="Textoindependiente"/>
    <w:autoRedefine/>
    <w:uiPriority w:val="39"/>
    <w:qFormat/>
    <w:rsid w:val="00316E8B"/>
    <w:pPr>
      <w:tabs>
        <w:tab w:val="right" w:leader="dot" w:pos="8828"/>
      </w:tabs>
      <w:spacing w:before="120" w:after="120"/>
    </w:pPr>
    <w:rPr>
      <w:rFonts w:cs="Arial"/>
      <w:b/>
      <w:bCs/>
      <w:caps/>
      <w:sz w:val="16"/>
      <w:szCs w:val="24"/>
      <w:lang w:val="es-ES"/>
    </w:rPr>
  </w:style>
  <w:style w:type="paragraph" w:styleId="TDC5">
    <w:name w:val="toc 5"/>
    <w:basedOn w:val="Normal"/>
    <w:next w:val="Normal"/>
    <w:autoRedefine/>
    <w:semiHidden/>
    <w:rsid w:val="00316E8B"/>
    <w:pPr>
      <w:spacing w:after="0" w:line="240" w:lineRule="auto"/>
      <w:ind w:left="600"/>
    </w:pPr>
    <w:rPr>
      <w:rFonts w:ascii="Times New Roman" w:eastAsia="Times New Roman" w:hAnsi="Times New Roman" w:cs="Times New Roman"/>
      <w:kern w:val="0"/>
      <w:sz w:val="20"/>
      <w:szCs w:val="20"/>
      <w:lang w:val="es-ES" w:eastAsia="es-CO"/>
      <w14:ligatures w14:val="none"/>
    </w:rPr>
  </w:style>
  <w:style w:type="paragraph" w:styleId="TDC8">
    <w:name w:val="toc 8"/>
    <w:basedOn w:val="Normal"/>
    <w:next w:val="Normal"/>
    <w:autoRedefine/>
    <w:semiHidden/>
    <w:rsid w:val="00316E8B"/>
    <w:pPr>
      <w:spacing w:after="0" w:line="240" w:lineRule="auto"/>
      <w:ind w:left="1200"/>
    </w:pPr>
    <w:rPr>
      <w:rFonts w:ascii="Times New Roman" w:eastAsia="Times New Roman" w:hAnsi="Times New Roman" w:cs="Times New Roman"/>
      <w:kern w:val="0"/>
      <w:sz w:val="20"/>
      <w:szCs w:val="20"/>
      <w:lang w:val="es-ES" w:eastAsia="es-CO"/>
      <w14:ligatures w14:val="none"/>
    </w:rPr>
  </w:style>
  <w:style w:type="paragraph" w:styleId="Mapadeldocumento">
    <w:name w:val="Document Map"/>
    <w:basedOn w:val="Normal"/>
    <w:link w:val="MapadeldocumentoCar"/>
    <w:semiHidden/>
    <w:rsid w:val="00316E8B"/>
    <w:pPr>
      <w:shd w:val="clear" w:color="auto" w:fill="000080"/>
      <w:spacing w:after="0" w:line="240" w:lineRule="auto"/>
      <w:jc w:val="both"/>
    </w:pPr>
    <w:rPr>
      <w:rFonts w:ascii="Tahoma" w:eastAsia="Times New Roman" w:hAnsi="Tahoma" w:cs="Tahoma"/>
      <w:kern w:val="0"/>
      <w:sz w:val="20"/>
      <w:szCs w:val="20"/>
      <w:lang w:val="es-ES_tradnl" w:eastAsia="es-CO"/>
      <w14:ligatures w14:val="none"/>
    </w:rPr>
  </w:style>
  <w:style w:type="character" w:customStyle="1" w:styleId="MapadeldocumentoCar">
    <w:name w:val="Mapa del documento Car"/>
    <w:basedOn w:val="Fuentedeprrafopredeter"/>
    <w:link w:val="Mapadeldocumento"/>
    <w:semiHidden/>
    <w:rsid w:val="00316E8B"/>
    <w:rPr>
      <w:rFonts w:ascii="Tahoma" w:eastAsia="Times New Roman" w:hAnsi="Tahoma" w:cs="Tahoma"/>
      <w:kern w:val="0"/>
      <w:sz w:val="20"/>
      <w:szCs w:val="20"/>
      <w:shd w:val="clear" w:color="auto" w:fill="000080"/>
      <w:lang w:val="es-ES_tradnl" w:eastAsia="es-CO"/>
      <w14:ligatures w14:val="none"/>
    </w:rPr>
  </w:style>
  <w:style w:type="paragraph" w:customStyle="1" w:styleId="Listavistosa-nfasis11">
    <w:name w:val="Lista vistosa - Énfasis 11"/>
    <w:basedOn w:val="Normal"/>
    <w:uiPriority w:val="34"/>
    <w:qFormat/>
    <w:rsid w:val="00316E8B"/>
    <w:pPr>
      <w:spacing w:after="0" w:line="240" w:lineRule="auto"/>
      <w:ind w:left="708"/>
    </w:pPr>
    <w:rPr>
      <w:rFonts w:ascii="Times New Roman" w:eastAsia="Times New Roman" w:hAnsi="Times New Roman" w:cs="Times New Roman"/>
      <w:kern w:val="0"/>
      <w:sz w:val="24"/>
      <w:szCs w:val="24"/>
      <w:lang w:eastAsia="es-ES"/>
      <w14:ligatures w14:val="none"/>
    </w:rPr>
  </w:style>
  <w:style w:type="paragraph" w:customStyle="1" w:styleId="BodyText22">
    <w:name w:val="Body Text 22"/>
    <w:basedOn w:val="Normal"/>
    <w:rsid w:val="00316E8B"/>
    <w:pPr>
      <w:spacing w:after="0" w:line="240" w:lineRule="auto"/>
      <w:jc w:val="both"/>
    </w:pPr>
    <w:rPr>
      <w:rFonts w:ascii="Arial" w:eastAsia="Times New Roman" w:hAnsi="Arial" w:cs="Times New Roman"/>
      <w:spacing w:val="20"/>
      <w:kern w:val="0"/>
      <w:sz w:val="16"/>
      <w:szCs w:val="20"/>
      <w:lang w:val="es-ES_tradnl" w:eastAsia="es-CO"/>
      <w14:ligatures w14:val="none"/>
    </w:rPr>
  </w:style>
  <w:style w:type="paragraph" w:customStyle="1" w:styleId="Point2">
    <w:name w:val="Point 2"/>
    <w:basedOn w:val="Normal"/>
    <w:rsid w:val="00316E8B"/>
    <w:pPr>
      <w:spacing w:before="120" w:after="120" w:line="360" w:lineRule="auto"/>
      <w:ind w:left="1984" w:hanging="567"/>
    </w:pPr>
    <w:rPr>
      <w:rFonts w:ascii="Times New Roman" w:eastAsia="Times New Roman" w:hAnsi="Times New Roman" w:cs="Times New Roman"/>
      <w:kern w:val="0"/>
      <w:sz w:val="24"/>
      <w:szCs w:val="20"/>
      <w:lang w:val="es-ES" w:eastAsia="zh-CN"/>
      <w14:ligatures w14:val="none"/>
    </w:rPr>
  </w:style>
  <w:style w:type="character" w:customStyle="1" w:styleId="estilo2">
    <w:name w:val="estilo2"/>
    <w:basedOn w:val="Fuentedeprrafopredeter"/>
    <w:rsid w:val="00316E8B"/>
  </w:style>
  <w:style w:type="character" w:styleId="Textoennegrita">
    <w:name w:val="Strong"/>
    <w:qFormat/>
    <w:rsid w:val="00316E8B"/>
    <w:rPr>
      <w:b/>
      <w:bCs/>
    </w:rPr>
  </w:style>
  <w:style w:type="paragraph" w:styleId="TDC2">
    <w:name w:val="toc 2"/>
    <w:next w:val="Textoindependiente"/>
    <w:autoRedefine/>
    <w:uiPriority w:val="39"/>
    <w:qFormat/>
    <w:rsid w:val="00316E8B"/>
    <w:pPr>
      <w:tabs>
        <w:tab w:val="right" w:leader="dot" w:pos="8830"/>
      </w:tabs>
      <w:spacing w:after="0" w:line="240" w:lineRule="auto"/>
      <w:ind w:left="244"/>
      <w:jc w:val="both"/>
    </w:pPr>
    <w:rPr>
      <w:rFonts w:ascii="Arial" w:eastAsia="Times New Roman" w:hAnsi="Arial" w:cs="Times New Roman"/>
      <w:kern w:val="0"/>
      <w:sz w:val="16"/>
      <w:szCs w:val="20"/>
      <w:lang w:val="es-ES_tradnl" w:eastAsia="es-CO"/>
      <w14:ligatures w14:val="none"/>
    </w:rPr>
  </w:style>
  <w:style w:type="paragraph" w:customStyle="1" w:styleId="TtuloTDC1">
    <w:name w:val="Título TDC1"/>
    <w:basedOn w:val="Ttulo1"/>
    <w:next w:val="Normal"/>
    <w:uiPriority w:val="39"/>
    <w:semiHidden/>
    <w:unhideWhenUsed/>
    <w:qFormat/>
    <w:rsid w:val="00316E8B"/>
    <w:pPr>
      <w:spacing w:before="480" w:after="0" w:line="276" w:lineRule="auto"/>
      <w:outlineLvl w:val="9"/>
    </w:pPr>
    <w:rPr>
      <w:rFonts w:ascii="Cambria" w:eastAsia="Times New Roman" w:hAnsi="Cambria" w:cs="Times New Roman"/>
      <w:b/>
      <w:bCs/>
      <w:color w:val="365F91"/>
      <w:kern w:val="0"/>
      <w:sz w:val="28"/>
      <w:szCs w:val="28"/>
      <w:lang w:eastAsia="es-CO"/>
      <w14:ligatures w14:val="none"/>
    </w:rPr>
  </w:style>
  <w:style w:type="paragraph" w:customStyle="1" w:styleId="Cuadrculamedia21">
    <w:name w:val="Cuadrícula media 21"/>
    <w:uiPriority w:val="1"/>
    <w:qFormat/>
    <w:rsid w:val="00316E8B"/>
    <w:pPr>
      <w:spacing w:after="0" w:line="240" w:lineRule="auto"/>
      <w:jc w:val="both"/>
    </w:pPr>
    <w:rPr>
      <w:rFonts w:ascii="Arial" w:eastAsia="Times New Roman" w:hAnsi="Arial" w:cs="Times New Roman"/>
      <w:kern w:val="0"/>
      <w:sz w:val="24"/>
      <w:szCs w:val="20"/>
      <w:lang w:val="es-ES_tradnl" w:eastAsia="es-CO"/>
      <w14:ligatures w14:val="none"/>
    </w:rPr>
  </w:style>
  <w:style w:type="paragraph" w:styleId="Textosinformato">
    <w:name w:val="Plain Text"/>
    <w:basedOn w:val="Normal"/>
    <w:link w:val="TextosinformatoCar"/>
    <w:uiPriority w:val="99"/>
    <w:unhideWhenUsed/>
    <w:rsid w:val="00316E8B"/>
    <w:pPr>
      <w:spacing w:after="0" w:line="240" w:lineRule="auto"/>
    </w:pPr>
    <w:rPr>
      <w:rFonts w:ascii="Calibri" w:eastAsia="Calibri" w:hAnsi="Calibri" w:cs="Times New Roman"/>
      <w:kern w:val="0"/>
      <w:szCs w:val="21"/>
      <w14:ligatures w14:val="none"/>
    </w:rPr>
  </w:style>
  <w:style w:type="character" w:customStyle="1" w:styleId="TextosinformatoCar">
    <w:name w:val="Texto sin formato Car"/>
    <w:basedOn w:val="Fuentedeprrafopredeter"/>
    <w:link w:val="Textosinformato"/>
    <w:uiPriority w:val="99"/>
    <w:rsid w:val="00316E8B"/>
    <w:rPr>
      <w:rFonts w:ascii="Calibri" w:eastAsia="Calibri" w:hAnsi="Calibri" w:cs="Times New Roman"/>
      <w:kern w:val="0"/>
      <w:szCs w:val="21"/>
      <w14:ligatures w14:val="none"/>
    </w:rPr>
  </w:style>
  <w:style w:type="paragraph" w:customStyle="1" w:styleId="TOCHeading1">
    <w:name w:val="TOC Heading1"/>
    <w:basedOn w:val="Ttulo1"/>
    <w:next w:val="Normal"/>
    <w:uiPriority w:val="39"/>
    <w:semiHidden/>
    <w:unhideWhenUsed/>
    <w:qFormat/>
    <w:rsid w:val="00316E8B"/>
    <w:pPr>
      <w:spacing w:before="480" w:after="0" w:line="276" w:lineRule="auto"/>
      <w:outlineLvl w:val="9"/>
    </w:pPr>
    <w:rPr>
      <w:rFonts w:ascii="Cambria" w:eastAsia="Times New Roman" w:hAnsi="Cambria" w:cs="Times New Roman"/>
      <w:b/>
      <w:bCs/>
      <w:color w:val="365F91"/>
      <w:kern w:val="0"/>
      <w:sz w:val="28"/>
      <w:szCs w:val="28"/>
      <w:lang w:eastAsia="es-CO"/>
      <w14:ligatures w14:val="none"/>
    </w:rPr>
  </w:style>
  <w:style w:type="paragraph" w:customStyle="1" w:styleId="Normal9pt">
    <w:name w:val="Normal + 9 pt"/>
    <w:aliases w:val="Sin Expandido / Comprimido"/>
    <w:basedOn w:val="Textoindependiente"/>
    <w:rsid w:val="00316E8B"/>
    <w:pPr>
      <w:numPr>
        <w:numId w:val="4"/>
      </w:numPr>
    </w:pPr>
    <w:rPr>
      <w:rFonts w:cs="Arial"/>
      <w:i/>
      <w:sz w:val="18"/>
      <w:szCs w:val="18"/>
      <w:lang w:val="es-MX" w:eastAsia="es-CO"/>
    </w:rPr>
  </w:style>
  <w:style w:type="character" w:styleId="Textodelmarcadordeposicin">
    <w:name w:val="Placeholder Text"/>
    <w:uiPriority w:val="99"/>
    <w:semiHidden/>
    <w:rsid w:val="00316E8B"/>
    <w:rPr>
      <w:color w:val="808080"/>
    </w:rPr>
  </w:style>
  <w:style w:type="character" w:styleId="Mencinsinresolver">
    <w:name w:val="Unresolved Mention"/>
    <w:basedOn w:val="Fuentedeprrafopredeter"/>
    <w:uiPriority w:val="99"/>
    <w:semiHidden/>
    <w:unhideWhenUsed/>
    <w:rsid w:val="00316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bc152a6ba4d128a0725ce498b4e7574d">
  <xsd:schema xmlns:xsd="http://www.w3.org/2001/XMLSchema" xmlns:xs="http://www.w3.org/2001/XMLSchema" xmlns:p="http://schemas.microsoft.com/office/2006/metadata/properties" xmlns:ns2="9056d983-1374-4724-9f8d-2ef5b64379db" targetNamespace="http://schemas.microsoft.com/office/2006/metadata/properties" ma:root="true" ma:fieldsID="9bedcc7c6e7e22469711e6e774e7ba55"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F0E48-35D5-4BAC-889B-383B8F140AA7}">
  <ds:schemaRefs>
    <ds:schemaRef ds:uri="http://purl.org/dc/elements/1.1/"/>
    <ds:schemaRef ds:uri="9056d983-1374-4724-9f8d-2ef5b64379db"/>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1DCEEA09-B0C7-4B20-A24C-FA87576C6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1815</Words>
  <Characters>10296</Characters>
  <Application>Microsoft Office Word</Application>
  <DocSecurity>0</DocSecurity>
  <Lines>223</Lines>
  <Paragraphs>109</Paragraphs>
  <ScaleCrop>false</ScaleCrop>
  <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de Colombia</cp:lastModifiedBy>
  <cp:revision>58</cp:revision>
  <dcterms:created xsi:type="dcterms:W3CDTF">2025-03-03T15:05:00Z</dcterms:created>
  <dcterms:modified xsi:type="dcterms:W3CDTF">2026-01-07T21:13:00Z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92700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